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43EE" w14:textId="77777777" w:rsidR="00FF1261" w:rsidRPr="009E4C4A" w:rsidRDefault="00FF1261" w:rsidP="00FF1261">
      <w:pPr>
        <w:spacing w:after="0" w:line="240" w:lineRule="auto"/>
        <w:jc w:val="center"/>
        <w:rPr>
          <w:rFonts w:ascii="Times New Roman" w:eastAsia="Times New Roman" w:hAnsi="Times New Roman" w:cs="Times New Roman"/>
          <w:sz w:val="24"/>
          <w:szCs w:val="24"/>
          <w:lang w:val="ro-MD"/>
        </w:rPr>
      </w:pPr>
      <w:r w:rsidRPr="009E4C4A">
        <w:rPr>
          <w:rFonts w:ascii="Times New Roman" w:eastAsia="Times New Roman" w:hAnsi="Times New Roman" w:cs="Times New Roman"/>
          <w:b/>
          <w:bCs/>
          <w:sz w:val="24"/>
          <w:szCs w:val="24"/>
          <w:lang w:val="ro-MD"/>
        </w:rPr>
        <w:t>SINTE</w:t>
      </w:r>
      <w:bookmarkStart w:id="0" w:name="_GoBack"/>
      <w:bookmarkEnd w:id="0"/>
      <w:r w:rsidRPr="009E4C4A">
        <w:rPr>
          <w:rFonts w:ascii="Times New Roman" w:eastAsia="Times New Roman" w:hAnsi="Times New Roman" w:cs="Times New Roman"/>
          <w:b/>
          <w:bCs/>
          <w:sz w:val="24"/>
          <w:szCs w:val="24"/>
          <w:lang w:val="ro-MD"/>
        </w:rPr>
        <w:t>ZA</w:t>
      </w:r>
    </w:p>
    <w:p w14:paraId="3898CA11" w14:textId="77777777" w:rsidR="00FF1261" w:rsidRPr="009E4C4A" w:rsidRDefault="00FF1261" w:rsidP="00FF1261">
      <w:pPr>
        <w:spacing w:after="0" w:line="240" w:lineRule="auto"/>
        <w:jc w:val="center"/>
        <w:rPr>
          <w:rFonts w:ascii="Times New Roman" w:eastAsia="Times New Roman" w:hAnsi="Times New Roman" w:cs="Times New Roman"/>
          <w:sz w:val="24"/>
          <w:szCs w:val="24"/>
          <w:lang w:val="ro-MD"/>
        </w:rPr>
      </w:pPr>
      <w:r w:rsidRPr="009E4C4A">
        <w:rPr>
          <w:rFonts w:ascii="Times New Roman" w:eastAsia="Times New Roman" w:hAnsi="Times New Roman" w:cs="Times New Roman"/>
          <w:b/>
          <w:bCs/>
          <w:sz w:val="24"/>
          <w:szCs w:val="24"/>
          <w:lang w:val="ro-MD"/>
        </w:rPr>
        <w:t>obiecțiilor și propunerilor/recomandărilor</w:t>
      </w:r>
    </w:p>
    <w:p w14:paraId="2BF0727B" w14:textId="3C15F2D7" w:rsidR="00752464" w:rsidRDefault="00FF1261" w:rsidP="002B67E7">
      <w:pPr>
        <w:spacing w:after="0" w:line="240" w:lineRule="auto"/>
        <w:ind w:firstLine="360"/>
        <w:jc w:val="center"/>
        <w:rPr>
          <w:rFonts w:ascii="Times New Roman" w:eastAsia="Times New Roman" w:hAnsi="Times New Roman" w:cs="Times New Roman"/>
          <w:b/>
          <w:bCs/>
          <w:color w:val="000000" w:themeColor="text1"/>
          <w:sz w:val="24"/>
          <w:szCs w:val="24"/>
          <w:lang w:val="ro-MD"/>
        </w:rPr>
      </w:pPr>
      <w:r w:rsidRPr="009E4C4A">
        <w:rPr>
          <w:rFonts w:ascii="Times New Roman" w:eastAsia="Times New Roman" w:hAnsi="Times New Roman" w:cs="Times New Roman"/>
          <w:b/>
          <w:bCs/>
          <w:sz w:val="24"/>
          <w:szCs w:val="24"/>
          <w:lang w:val="ro-MD"/>
        </w:rPr>
        <w:t xml:space="preserve">la proiectul Hotărârii Comitetului </w:t>
      </w:r>
      <w:r w:rsidR="000B4832" w:rsidRPr="009E4C4A">
        <w:rPr>
          <w:rFonts w:ascii="Times New Roman" w:eastAsia="Times New Roman" w:hAnsi="Times New Roman" w:cs="Times New Roman"/>
          <w:b/>
          <w:bCs/>
          <w:sz w:val="24"/>
          <w:szCs w:val="24"/>
          <w:lang w:val="ro-MD"/>
        </w:rPr>
        <w:t>e</w:t>
      </w:r>
      <w:r w:rsidRPr="009E4C4A">
        <w:rPr>
          <w:rFonts w:ascii="Times New Roman" w:eastAsia="Times New Roman" w:hAnsi="Times New Roman" w:cs="Times New Roman"/>
          <w:b/>
          <w:bCs/>
          <w:sz w:val="24"/>
          <w:szCs w:val="24"/>
          <w:lang w:val="ro-MD"/>
        </w:rPr>
        <w:t xml:space="preserve">xecutiv al Băncii Naționale a Moldovei </w:t>
      </w:r>
      <w:r w:rsidR="00064F49" w:rsidRPr="009E4C4A">
        <w:rPr>
          <w:rFonts w:ascii="Times New Roman" w:eastAsia="Times New Roman" w:hAnsi="Times New Roman" w:cs="Times New Roman"/>
          <w:b/>
          <w:bCs/>
          <w:color w:val="000000" w:themeColor="text1"/>
          <w:sz w:val="24"/>
          <w:szCs w:val="24"/>
          <w:lang w:val="ro-MD"/>
        </w:rPr>
        <w:br/>
      </w:r>
      <w:r w:rsidR="002B67E7" w:rsidRPr="009E4C4A">
        <w:rPr>
          <w:rFonts w:ascii="Times New Roman" w:eastAsia="Times New Roman" w:hAnsi="Times New Roman" w:cs="Times New Roman"/>
          <w:b/>
          <w:bCs/>
          <w:color w:val="000000" w:themeColor="text1"/>
          <w:sz w:val="24"/>
          <w:szCs w:val="24"/>
          <w:lang w:val="ro-MD"/>
        </w:rPr>
        <w:t>„Pentru modificarea unor acte normative ale Băncii Naționale a Moldovei”</w:t>
      </w:r>
    </w:p>
    <w:p w14:paraId="4BA5905F" w14:textId="42919A1A" w:rsidR="000E444B" w:rsidRPr="009E4C4A" w:rsidRDefault="000E444B" w:rsidP="002B67E7">
      <w:pPr>
        <w:spacing w:after="0" w:line="240" w:lineRule="auto"/>
        <w:ind w:firstLine="360"/>
        <w:jc w:val="center"/>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 xml:space="preserve">(actualizarea Planului de conturi și </w:t>
      </w:r>
      <w:r w:rsidR="002A650F" w:rsidRPr="002A650F">
        <w:rPr>
          <w:rFonts w:ascii="Times New Roman" w:eastAsia="Times New Roman" w:hAnsi="Times New Roman" w:cs="Times New Roman"/>
          <w:b/>
          <w:bCs/>
          <w:sz w:val="24"/>
          <w:szCs w:val="24"/>
          <w:lang w:val="ro-MD"/>
        </w:rPr>
        <w:t>a raport</w:t>
      </w:r>
      <w:r w:rsidR="002A650F">
        <w:rPr>
          <w:rFonts w:ascii="Times New Roman" w:eastAsia="Times New Roman" w:hAnsi="Times New Roman" w:cs="Times New Roman"/>
          <w:b/>
          <w:bCs/>
          <w:sz w:val="24"/>
          <w:szCs w:val="24"/>
          <w:lang w:val="ro-MD"/>
        </w:rPr>
        <w:t>ării</w:t>
      </w:r>
      <w:r w:rsidR="002A650F" w:rsidRPr="002A650F">
        <w:rPr>
          <w:rFonts w:ascii="Times New Roman" w:eastAsia="Times New Roman" w:hAnsi="Times New Roman" w:cs="Times New Roman"/>
          <w:b/>
          <w:bCs/>
          <w:sz w:val="24"/>
          <w:szCs w:val="24"/>
          <w:lang w:val="ro-MD"/>
        </w:rPr>
        <w:t xml:space="preserve"> </w:t>
      </w:r>
      <w:r w:rsidR="002A650F">
        <w:rPr>
          <w:rFonts w:ascii="Times New Roman" w:eastAsia="Times New Roman" w:hAnsi="Times New Roman" w:cs="Times New Roman"/>
          <w:b/>
          <w:bCs/>
          <w:sz w:val="24"/>
          <w:szCs w:val="24"/>
          <w:lang w:val="ro-MD"/>
        </w:rPr>
        <w:t>p</w:t>
      </w:r>
      <w:r w:rsidR="002A650F" w:rsidRPr="002A650F">
        <w:rPr>
          <w:rFonts w:ascii="Times New Roman" w:eastAsia="Times New Roman" w:hAnsi="Times New Roman" w:cs="Times New Roman"/>
          <w:b/>
          <w:bCs/>
          <w:sz w:val="24"/>
          <w:szCs w:val="24"/>
          <w:lang w:val="ro-MD"/>
        </w:rPr>
        <w:t>oziţi</w:t>
      </w:r>
      <w:r w:rsidR="002A650F">
        <w:rPr>
          <w:rFonts w:ascii="Times New Roman" w:eastAsia="Times New Roman" w:hAnsi="Times New Roman" w:cs="Times New Roman"/>
          <w:b/>
          <w:bCs/>
          <w:sz w:val="24"/>
          <w:szCs w:val="24"/>
          <w:lang w:val="ro-MD"/>
        </w:rPr>
        <w:t>ei</w:t>
      </w:r>
      <w:r w:rsidR="002A650F" w:rsidRPr="002A650F">
        <w:rPr>
          <w:rFonts w:ascii="Times New Roman" w:eastAsia="Times New Roman" w:hAnsi="Times New Roman" w:cs="Times New Roman"/>
          <w:b/>
          <w:bCs/>
          <w:sz w:val="24"/>
          <w:szCs w:val="24"/>
          <w:lang w:val="ro-MD"/>
        </w:rPr>
        <w:t xml:space="preserve"> valutar</w:t>
      </w:r>
      <w:r w:rsidR="002A650F">
        <w:rPr>
          <w:rFonts w:ascii="Times New Roman" w:eastAsia="Times New Roman" w:hAnsi="Times New Roman" w:cs="Times New Roman"/>
          <w:b/>
          <w:bCs/>
          <w:sz w:val="24"/>
          <w:szCs w:val="24"/>
          <w:lang w:val="ro-MD"/>
        </w:rPr>
        <w:t>e</w:t>
      </w:r>
      <w:r w:rsidR="002A650F" w:rsidRPr="002A650F">
        <w:rPr>
          <w:rFonts w:ascii="Times New Roman" w:eastAsia="Times New Roman" w:hAnsi="Times New Roman" w:cs="Times New Roman"/>
          <w:b/>
          <w:bCs/>
          <w:sz w:val="24"/>
          <w:szCs w:val="24"/>
          <w:lang w:val="ro-MD"/>
        </w:rPr>
        <w:t xml:space="preserve"> deschis</w:t>
      </w:r>
      <w:r w:rsidR="002A650F">
        <w:rPr>
          <w:rFonts w:ascii="Times New Roman" w:eastAsia="Times New Roman" w:hAnsi="Times New Roman" w:cs="Times New Roman"/>
          <w:b/>
          <w:bCs/>
          <w:sz w:val="24"/>
          <w:szCs w:val="24"/>
          <w:lang w:val="ro-MD"/>
        </w:rPr>
        <w:t>e</w:t>
      </w:r>
      <w:r w:rsidR="002A650F" w:rsidRPr="002A650F">
        <w:rPr>
          <w:rFonts w:ascii="Times New Roman" w:eastAsia="Times New Roman" w:hAnsi="Times New Roman" w:cs="Times New Roman"/>
          <w:b/>
          <w:bCs/>
          <w:sz w:val="24"/>
          <w:szCs w:val="24"/>
          <w:lang w:val="ro-MD"/>
        </w:rPr>
        <w:t xml:space="preserve"> a băncii</w:t>
      </w:r>
      <w:r w:rsidR="002A650F">
        <w:rPr>
          <w:rFonts w:ascii="Times New Roman" w:eastAsia="Times New Roman" w:hAnsi="Times New Roman" w:cs="Times New Roman"/>
          <w:b/>
          <w:bCs/>
          <w:sz w:val="24"/>
          <w:szCs w:val="24"/>
          <w:lang w:val="ro-MD"/>
        </w:rPr>
        <w:t>)</w:t>
      </w:r>
    </w:p>
    <w:p w14:paraId="42649D78" w14:textId="77777777" w:rsidR="00FF1261" w:rsidRPr="009E4C4A" w:rsidRDefault="00FF1261" w:rsidP="00752464">
      <w:pPr>
        <w:spacing w:after="0" w:line="240" w:lineRule="auto"/>
        <w:jc w:val="center"/>
        <w:rPr>
          <w:rFonts w:ascii="Times New Roman" w:eastAsia="Times New Roman" w:hAnsi="Times New Roman" w:cs="Times New Roman"/>
          <w:lang w:val="ro-MD"/>
        </w:rPr>
      </w:pPr>
    </w:p>
    <w:tbl>
      <w:tblPr>
        <w:tblStyle w:val="TableGrid"/>
        <w:tblW w:w="14752" w:type="dxa"/>
        <w:tblInd w:w="-431" w:type="dxa"/>
        <w:tblLayout w:type="fixed"/>
        <w:tblLook w:val="04A0" w:firstRow="1" w:lastRow="0" w:firstColumn="1" w:lastColumn="0" w:noHBand="0" w:noVBand="1"/>
      </w:tblPr>
      <w:tblGrid>
        <w:gridCol w:w="5382"/>
        <w:gridCol w:w="2557"/>
        <w:gridCol w:w="709"/>
        <w:gridCol w:w="3091"/>
        <w:gridCol w:w="3004"/>
        <w:gridCol w:w="9"/>
      </w:tblGrid>
      <w:tr w:rsidR="00FF1261" w:rsidRPr="009E4C4A" w14:paraId="34155D02" w14:textId="77777777" w:rsidTr="00BB7B61">
        <w:trPr>
          <w:gridAfter w:val="1"/>
          <w:wAfter w:w="9" w:type="dxa"/>
        </w:trPr>
        <w:tc>
          <w:tcPr>
            <w:tcW w:w="5382" w:type="dxa"/>
          </w:tcPr>
          <w:p w14:paraId="28F9D4B2" w14:textId="77777777" w:rsidR="00FF1261" w:rsidRPr="009E4C4A" w:rsidRDefault="00FF1261" w:rsidP="00C75C1D">
            <w:pPr>
              <w:jc w:val="center"/>
              <w:rPr>
                <w:rFonts w:ascii="Times New Roman" w:eastAsia="Times New Roman" w:hAnsi="Times New Roman" w:cs="Times New Roman"/>
                <w:lang w:val="ro-MD"/>
              </w:rPr>
            </w:pPr>
            <w:r w:rsidRPr="009E4C4A">
              <w:rPr>
                <w:rFonts w:ascii="Times New Roman" w:eastAsia="Times New Roman" w:hAnsi="Times New Roman" w:cs="Times New Roman"/>
                <w:b/>
                <w:bCs/>
                <w:lang w:val="ro-MD"/>
              </w:rPr>
              <w:t>Conținutul articolelor/</w:t>
            </w:r>
            <w:r w:rsidRPr="009E4C4A">
              <w:rPr>
                <w:rFonts w:ascii="Times New Roman" w:eastAsia="Times New Roman" w:hAnsi="Times New Roman" w:cs="Times New Roman"/>
                <w:b/>
                <w:bCs/>
                <w:lang w:val="ro-MD"/>
              </w:rPr>
              <w:br/>
              <w:t>punctelor din proiectul</w:t>
            </w:r>
            <w:r w:rsidRPr="009E4C4A">
              <w:rPr>
                <w:rFonts w:ascii="Times New Roman" w:eastAsia="Times New Roman" w:hAnsi="Times New Roman" w:cs="Times New Roman"/>
                <w:b/>
                <w:bCs/>
                <w:lang w:val="ro-MD"/>
              </w:rPr>
              <w:br/>
              <w:t>prezentat spre avizare</w:t>
            </w:r>
            <w:r w:rsidRPr="009E4C4A">
              <w:rPr>
                <w:rFonts w:ascii="Times New Roman" w:eastAsia="Times New Roman" w:hAnsi="Times New Roman" w:cs="Times New Roman"/>
                <w:b/>
                <w:bCs/>
                <w:lang w:val="ro-MD"/>
              </w:rPr>
              <w:br/>
              <w:t>și coordonare</w:t>
            </w:r>
          </w:p>
        </w:tc>
        <w:tc>
          <w:tcPr>
            <w:tcW w:w="2557" w:type="dxa"/>
          </w:tcPr>
          <w:p w14:paraId="13616AD0" w14:textId="77777777" w:rsidR="00FF1261" w:rsidRPr="009E4C4A" w:rsidRDefault="00FF1261" w:rsidP="00C75C1D">
            <w:pPr>
              <w:jc w:val="center"/>
              <w:rPr>
                <w:rFonts w:ascii="Times New Roman" w:eastAsia="Times New Roman" w:hAnsi="Times New Roman" w:cs="Times New Roman"/>
                <w:lang w:val="ro-MD"/>
              </w:rPr>
            </w:pPr>
            <w:r w:rsidRPr="009E4C4A">
              <w:rPr>
                <w:rFonts w:ascii="Times New Roman" w:eastAsia="Times New Roman" w:hAnsi="Times New Roman" w:cs="Times New Roman"/>
                <w:b/>
                <w:bCs/>
                <w:lang w:val="ro-MD"/>
              </w:rPr>
              <w:t>Participantul la avizare</w:t>
            </w:r>
            <w:r w:rsidRPr="009E4C4A">
              <w:rPr>
                <w:rFonts w:ascii="Times New Roman" w:eastAsia="Times New Roman" w:hAnsi="Times New Roman" w:cs="Times New Roman"/>
                <w:b/>
                <w:bCs/>
                <w:lang w:val="ro-MD"/>
              </w:rPr>
              <w:br/>
              <w:t>(expertizare)/consultare</w:t>
            </w:r>
            <w:r w:rsidRPr="009E4C4A">
              <w:rPr>
                <w:rFonts w:ascii="Times New Roman" w:eastAsia="Times New Roman" w:hAnsi="Times New Roman" w:cs="Times New Roman"/>
                <w:b/>
                <w:bCs/>
                <w:lang w:val="ro-MD"/>
              </w:rPr>
              <w:br/>
              <w:t>publică</w:t>
            </w:r>
          </w:p>
        </w:tc>
        <w:tc>
          <w:tcPr>
            <w:tcW w:w="709" w:type="dxa"/>
          </w:tcPr>
          <w:p w14:paraId="1B4B5F3E" w14:textId="77777777" w:rsidR="00FF1261" w:rsidRPr="009E4C4A" w:rsidRDefault="00FF1261" w:rsidP="00C75C1D">
            <w:pPr>
              <w:jc w:val="center"/>
              <w:rPr>
                <w:rFonts w:ascii="Times New Roman" w:eastAsia="Times New Roman" w:hAnsi="Times New Roman" w:cs="Times New Roman"/>
                <w:lang w:val="ro-MD"/>
              </w:rPr>
            </w:pPr>
            <w:r w:rsidRPr="009E4C4A">
              <w:rPr>
                <w:rFonts w:ascii="Times New Roman" w:eastAsia="Times New Roman" w:hAnsi="Times New Roman" w:cs="Times New Roman"/>
                <w:b/>
                <w:bCs/>
                <w:lang w:val="ro-MD"/>
              </w:rPr>
              <w:t>Nr. obiecției/</w:t>
            </w:r>
            <w:r w:rsidRPr="009E4C4A">
              <w:rPr>
                <w:rFonts w:ascii="Times New Roman" w:eastAsia="Times New Roman" w:hAnsi="Times New Roman" w:cs="Times New Roman"/>
                <w:b/>
                <w:bCs/>
                <w:lang w:val="ro-MD"/>
              </w:rPr>
              <w:br/>
              <w:t>propunerii/</w:t>
            </w:r>
            <w:r w:rsidRPr="009E4C4A">
              <w:rPr>
                <w:rFonts w:ascii="Times New Roman" w:eastAsia="Times New Roman" w:hAnsi="Times New Roman" w:cs="Times New Roman"/>
                <w:b/>
                <w:bCs/>
                <w:lang w:val="ro-MD"/>
              </w:rPr>
              <w:br/>
              <w:t>recomandării</w:t>
            </w:r>
          </w:p>
        </w:tc>
        <w:tc>
          <w:tcPr>
            <w:tcW w:w="3091" w:type="dxa"/>
          </w:tcPr>
          <w:p w14:paraId="35919169" w14:textId="77777777" w:rsidR="00FF1261" w:rsidRPr="009E4C4A" w:rsidRDefault="00FF1261" w:rsidP="00C75C1D">
            <w:pPr>
              <w:jc w:val="center"/>
              <w:rPr>
                <w:rFonts w:ascii="Times New Roman" w:eastAsia="Times New Roman" w:hAnsi="Times New Roman" w:cs="Times New Roman"/>
                <w:lang w:val="ro-MD"/>
              </w:rPr>
            </w:pPr>
            <w:r w:rsidRPr="009E4C4A">
              <w:rPr>
                <w:rFonts w:ascii="Times New Roman" w:eastAsia="Times New Roman" w:hAnsi="Times New Roman" w:cs="Times New Roman"/>
                <w:b/>
                <w:bCs/>
                <w:lang w:val="ro-MD"/>
              </w:rPr>
              <w:t>Conținutul</w:t>
            </w:r>
            <w:r w:rsidRPr="009E4C4A">
              <w:rPr>
                <w:rFonts w:ascii="Times New Roman" w:eastAsia="Times New Roman" w:hAnsi="Times New Roman" w:cs="Times New Roman"/>
                <w:b/>
                <w:bCs/>
                <w:lang w:val="ro-MD"/>
              </w:rPr>
              <w:br/>
              <w:t>obiecției/</w:t>
            </w:r>
            <w:r w:rsidRPr="009E4C4A">
              <w:rPr>
                <w:rFonts w:ascii="Times New Roman" w:eastAsia="Times New Roman" w:hAnsi="Times New Roman" w:cs="Times New Roman"/>
                <w:b/>
                <w:bCs/>
                <w:lang w:val="ro-MD"/>
              </w:rPr>
              <w:br/>
              <w:t>propunerii/</w:t>
            </w:r>
            <w:r w:rsidRPr="009E4C4A">
              <w:rPr>
                <w:rFonts w:ascii="Times New Roman" w:eastAsia="Times New Roman" w:hAnsi="Times New Roman" w:cs="Times New Roman"/>
                <w:b/>
                <w:bCs/>
                <w:lang w:val="ro-MD"/>
              </w:rPr>
              <w:br/>
              <w:t>recomandării</w:t>
            </w:r>
          </w:p>
        </w:tc>
        <w:tc>
          <w:tcPr>
            <w:tcW w:w="3004" w:type="dxa"/>
          </w:tcPr>
          <w:p w14:paraId="2C84325A" w14:textId="77777777" w:rsidR="00FF1261" w:rsidRPr="009E4C4A" w:rsidRDefault="00FF1261" w:rsidP="00C75C1D">
            <w:pPr>
              <w:jc w:val="center"/>
              <w:rPr>
                <w:rFonts w:ascii="Times New Roman" w:eastAsia="Times New Roman" w:hAnsi="Times New Roman" w:cs="Times New Roman"/>
                <w:lang w:val="ro-MD"/>
              </w:rPr>
            </w:pPr>
            <w:r w:rsidRPr="009E4C4A">
              <w:rPr>
                <w:rFonts w:ascii="Times New Roman" w:eastAsia="Times New Roman" w:hAnsi="Times New Roman" w:cs="Times New Roman"/>
                <w:b/>
                <w:bCs/>
                <w:lang w:val="ro-MD"/>
              </w:rPr>
              <w:t>Argumentarea</w:t>
            </w:r>
            <w:r w:rsidRPr="009E4C4A">
              <w:rPr>
                <w:rFonts w:ascii="Times New Roman" w:eastAsia="Times New Roman" w:hAnsi="Times New Roman" w:cs="Times New Roman"/>
                <w:b/>
                <w:bCs/>
                <w:lang w:val="ro-MD"/>
              </w:rPr>
              <w:br/>
              <w:t>autorului</w:t>
            </w:r>
            <w:r w:rsidRPr="009E4C4A">
              <w:rPr>
                <w:rFonts w:ascii="Times New Roman" w:eastAsia="Times New Roman" w:hAnsi="Times New Roman" w:cs="Times New Roman"/>
                <w:b/>
                <w:bCs/>
                <w:lang w:val="ro-MD"/>
              </w:rPr>
              <w:br/>
              <w:t>proiectului</w:t>
            </w:r>
          </w:p>
          <w:p w14:paraId="668C6BED" w14:textId="77777777" w:rsidR="00FF1261" w:rsidRPr="009E4C4A" w:rsidRDefault="00FF1261" w:rsidP="00C75C1D">
            <w:pPr>
              <w:jc w:val="center"/>
              <w:rPr>
                <w:rFonts w:ascii="Times New Roman" w:eastAsia="Times New Roman" w:hAnsi="Times New Roman" w:cs="Times New Roman"/>
                <w:lang w:val="ro-MD"/>
              </w:rPr>
            </w:pPr>
          </w:p>
        </w:tc>
      </w:tr>
      <w:tr w:rsidR="00FF1261" w:rsidRPr="009E4C4A" w14:paraId="6F990312" w14:textId="77777777" w:rsidTr="00BB7B61">
        <w:tc>
          <w:tcPr>
            <w:tcW w:w="14752" w:type="dxa"/>
            <w:gridSpan w:val="6"/>
          </w:tcPr>
          <w:p w14:paraId="329DDD82" w14:textId="77777777" w:rsidR="00FF1261" w:rsidRPr="009E4C4A" w:rsidRDefault="00FF1261" w:rsidP="00C75C1D">
            <w:pPr>
              <w:jc w:val="center"/>
              <w:rPr>
                <w:rFonts w:ascii="Times New Roman" w:eastAsia="Times New Roman" w:hAnsi="Times New Roman" w:cs="Times New Roman"/>
                <w:b/>
                <w:lang w:val="ro-MD"/>
              </w:rPr>
            </w:pPr>
            <w:r w:rsidRPr="009E4C4A">
              <w:rPr>
                <w:rFonts w:ascii="Times New Roman" w:eastAsia="Times New Roman" w:hAnsi="Times New Roman" w:cs="Times New Roman"/>
                <w:b/>
                <w:lang w:val="ro-MD"/>
              </w:rPr>
              <w:t>I. Obiecții și propuneri de ordin general</w:t>
            </w:r>
          </w:p>
          <w:p w14:paraId="6D479E83" w14:textId="77777777" w:rsidR="00FF1261" w:rsidRPr="009E4C4A" w:rsidRDefault="00FF1261" w:rsidP="00C75C1D">
            <w:pPr>
              <w:jc w:val="center"/>
              <w:rPr>
                <w:rFonts w:ascii="Times New Roman" w:eastAsia="Times New Roman" w:hAnsi="Times New Roman" w:cs="Times New Roman"/>
                <w:lang w:val="ro-MD"/>
              </w:rPr>
            </w:pPr>
          </w:p>
        </w:tc>
      </w:tr>
      <w:tr w:rsidR="00D7515C" w:rsidRPr="009E4C4A" w14:paraId="611123E5" w14:textId="77777777" w:rsidTr="00664E51">
        <w:trPr>
          <w:gridAfter w:val="1"/>
          <w:wAfter w:w="9" w:type="dxa"/>
        </w:trPr>
        <w:tc>
          <w:tcPr>
            <w:tcW w:w="5382" w:type="dxa"/>
          </w:tcPr>
          <w:p w14:paraId="0D3361D2" w14:textId="77777777" w:rsidR="00D7515C" w:rsidRPr="009E4C4A" w:rsidRDefault="00D7515C" w:rsidP="00D7515C">
            <w:pPr>
              <w:jc w:val="center"/>
              <w:rPr>
                <w:rFonts w:ascii="Times New Roman" w:eastAsia="Times New Roman" w:hAnsi="Times New Roman" w:cs="Times New Roman"/>
                <w:lang w:val="ro-MD"/>
              </w:rPr>
            </w:pPr>
          </w:p>
        </w:tc>
        <w:tc>
          <w:tcPr>
            <w:tcW w:w="2557" w:type="dxa"/>
          </w:tcPr>
          <w:p w14:paraId="073C5B90" w14:textId="46D3B7EF" w:rsidR="00D7515C" w:rsidRPr="009E4C4A" w:rsidRDefault="00D7515C" w:rsidP="00D7515C">
            <w:pPr>
              <w:rPr>
                <w:rFonts w:ascii="Times New Roman" w:hAnsi="Times New Roman" w:cs="Times New Roman"/>
                <w:lang w:val="ro-MD"/>
              </w:rPr>
            </w:pPr>
            <w:r w:rsidRPr="009E4C4A">
              <w:rPr>
                <w:rFonts w:ascii="Times New Roman" w:hAnsi="Times New Roman" w:cs="Times New Roman"/>
                <w:lang w:val="ro-MD"/>
              </w:rPr>
              <w:t>Ministerul Justiției al Republicii Moldova</w:t>
            </w:r>
          </w:p>
        </w:tc>
        <w:tc>
          <w:tcPr>
            <w:tcW w:w="709" w:type="dxa"/>
          </w:tcPr>
          <w:p w14:paraId="319157AB" w14:textId="77777777" w:rsidR="00D7515C" w:rsidRPr="009E4C4A" w:rsidRDefault="00D7515C" w:rsidP="00D7515C">
            <w:pPr>
              <w:pStyle w:val="ListParagraph"/>
              <w:numPr>
                <w:ilvl w:val="0"/>
                <w:numId w:val="17"/>
              </w:numPr>
              <w:ind w:left="0" w:hanging="37"/>
              <w:jc w:val="center"/>
              <w:rPr>
                <w:rFonts w:ascii="Times New Roman" w:eastAsia="Times New Roman" w:hAnsi="Times New Roman" w:cs="Times New Roman"/>
                <w:lang w:val="ro-MD"/>
              </w:rPr>
            </w:pPr>
          </w:p>
        </w:tc>
        <w:tc>
          <w:tcPr>
            <w:tcW w:w="3091" w:type="dxa"/>
            <w:shd w:val="clear" w:color="auto" w:fill="auto"/>
          </w:tcPr>
          <w:p w14:paraId="2FDD1B89" w14:textId="7D4C6962" w:rsidR="00D7515C" w:rsidRPr="009E4C4A" w:rsidRDefault="00D7515C" w:rsidP="00D7515C">
            <w:pPr>
              <w:autoSpaceDE w:val="0"/>
              <w:autoSpaceDN w:val="0"/>
              <w:adjustRightInd w:val="0"/>
              <w:rPr>
                <w:rFonts w:ascii="Times New Roman" w:hAnsi="Times New Roman" w:cs="Times New Roman"/>
                <w:lang w:val="ro-MD"/>
              </w:rPr>
            </w:pPr>
            <w:r w:rsidRPr="00A97BD1">
              <w:rPr>
                <w:rFonts w:ascii="Times New Roman" w:hAnsi="Times New Roman" w:cs="Times New Roman"/>
                <w:lang w:val="ro-MD"/>
              </w:rPr>
              <w:t xml:space="preserve">Ținând cont de caracterul obligatoriu al dispoziției normative instituite în art. 42 din Legea nr. 100/2017 cu privire la actele normative, se impune necesitatea revizuirii denumirii proiectului hotărârii, în sensul în care, aceasta să conțină o paranteză în care se va indica laconic obiectul reglementării proiectului sau obiectivul acestuia. Or, astfel cum este dispus în prevederile articolului citat, denumirea actului normativ reprezintă numirea generică a actului în funcție de categoria acestuia, de autoritatea emitentă şi de </w:t>
            </w:r>
            <w:r w:rsidRPr="00A97BD1">
              <w:rPr>
                <w:rFonts w:ascii="Times New Roman" w:hAnsi="Times New Roman" w:cs="Times New Roman"/>
                <w:lang w:val="ro-MD"/>
              </w:rPr>
              <w:lastRenderedPageBreak/>
              <w:t>obiectul reglementării exprimat sintetic. Denumirea actului normativ trebuie să fie laconică şi să exprime cu claritate obiectul reglementării. Totodată, denumirea actului normativ nu poate să fie identică cu cea a altui act normativ în vigoare, cu excepția cazului în care proiectul noului act normativ prevede abrogarea actului normativ precedent cu aceeași denumire.</w:t>
            </w:r>
          </w:p>
        </w:tc>
        <w:tc>
          <w:tcPr>
            <w:tcW w:w="3004" w:type="dxa"/>
          </w:tcPr>
          <w:p w14:paraId="50762FB5" w14:textId="238C49E3" w:rsidR="00D7515C" w:rsidRPr="00A862B6" w:rsidRDefault="005B526D" w:rsidP="00072466">
            <w:pPr>
              <w:rPr>
                <w:rFonts w:ascii="Times New Roman" w:hAnsi="Times New Roman" w:cs="Times New Roman"/>
                <w:b/>
                <w:bCs/>
                <w:lang w:val="ro-MD"/>
              </w:rPr>
            </w:pPr>
            <w:r w:rsidRPr="00A862B6">
              <w:rPr>
                <w:rFonts w:ascii="Times New Roman" w:hAnsi="Times New Roman" w:cs="Times New Roman"/>
                <w:b/>
                <w:bCs/>
                <w:lang w:val="ro-MD"/>
              </w:rPr>
              <w:lastRenderedPageBreak/>
              <w:t>Se acceptă</w:t>
            </w:r>
          </w:p>
        </w:tc>
      </w:tr>
      <w:tr w:rsidR="00D7515C" w:rsidRPr="009E4C4A" w14:paraId="74B17FF9" w14:textId="77777777" w:rsidTr="00664E51">
        <w:trPr>
          <w:gridAfter w:val="1"/>
          <w:wAfter w:w="9" w:type="dxa"/>
        </w:trPr>
        <w:tc>
          <w:tcPr>
            <w:tcW w:w="5382" w:type="dxa"/>
          </w:tcPr>
          <w:p w14:paraId="2819C126" w14:textId="77777777" w:rsidR="00D7515C" w:rsidRPr="009E4C4A" w:rsidRDefault="00D7515C" w:rsidP="00D7515C">
            <w:pPr>
              <w:jc w:val="center"/>
              <w:rPr>
                <w:rFonts w:ascii="Times New Roman" w:eastAsia="Times New Roman" w:hAnsi="Times New Roman" w:cs="Times New Roman"/>
                <w:lang w:val="ro-MD"/>
              </w:rPr>
            </w:pPr>
          </w:p>
        </w:tc>
        <w:tc>
          <w:tcPr>
            <w:tcW w:w="2557" w:type="dxa"/>
          </w:tcPr>
          <w:p w14:paraId="7F1393CF" w14:textId="48D78401" w:rsidR="00D7515C" w:rsidRPr="00A97BD1" w:rsidRDefault="00D7515C" w:rsidP="00D7515C">
            <w:pPr>
              <w:rPr>
                <w:rFonts w:ascii="Times New Roman" w:hAnsi="Times New Roman" w:cs="Times New Roman"/>
                <w:lang w:val="ro-MD"/>
              </w:rPr>
            </w:pPr>
            <w:r w:rsidRPr="00D7515C">
              <w:rPr>
                <w:rFonts w:ascii="Times New Roman" w:hAnsi="Times New Roman" w:cs="Times New Roman"/>
                <w:lang w:val="ro-MD"/>
              </w:rPr>
              <w:t>Ministerul Justiției al Republicii Moldova</w:t>
            </w:r>
          </w:p>
        </w:tc>
        <w:tc>
          <w:tcPr>
            <w:tcW w:w="709" w:type="dxa"/>
          </w:tcPr>
          <w:p w14:paraId="2D1A7791" w14:textId="77777777" w:rsidR="00D7515C" w:rsidRPr="009E4C4A" w:rsidRDefault="00D7515C" w:rsidP="00D7515C">
            <w:pPr>
              <w:pStyle w:val="ListParagraph"/>
              <w:numPr>
                <w:ilvl w:val="0"/>
                <w:numId w:val="17"/>
              </w:numPr>
              <w:ind w:left="0" w:hanging="37"/>
              <w:jc w:val="center"/>
              <w:rPr>
                <w:rFonts w:ascii="Times New Roman" w:eastAsia="Times New Roman" w:hAnsi="Times New Roman" w:cs="Times New Roman"/>
                <w:lang w:val="ro-MD"/>
              </w:rPr>
            </w:pPr>
          </w:p>
        </w:tc>
        <w:tc>
          <w:tcPr>
            <w:tcW w:w="3091" w:type="dxa"/>
            <w:shd w:val="clear" w:color="auto" w:fill="auto"/>
          </w:tcPr>
          <w:p w14:paraId="6B69C9D1" w14:textId="5E717845" w:rsidR="00D7515C" w:rsidRPr="00A97BD1" w:rsidRDefault="00D7515C" w:rsidP="00D7515C">
            <w:pPr>
              <w:autoSpaceDE w:val="0"/>
              <w:autoSpaceDN w:val="0"/>
              <w:adjustRightInd w:val="0"/>
              <w:rPr>
                <w:rFonts w:ascii="Times New Roman" w:hAnsi="Times New Roman" w:cs="Times New Roman"/>
                <w:lang w:val="ro-MD"/>
              </w:rPr>
            </w:pPr>
            <w:r w:rsidRPr="00D7515C">
              <w:rPr>
                <w:rFonts w:ascii="Times New Roman" w:hAnsi="Times New Roman" w:cs="Times New Roman"/>
                <w:lang w:val="ro-MD"/>
              </w:rPr>
              <w:t>Comunicăm că, referințele la actele normative se vor expune ținând cont de prevederile art. 42 alin. (5) și art. 55 alin. (5) din Legea nr. 100/2017 cu privire la actele normative, astfel încât la indicarea datei de adoptare a actului normativ să se indice numărul de ordine, ca element de identificare, la care să se adauge anul în care a fost adoptat, aprobat sau emis acesta, fiind despărțite de o bară „/”, conform următorului exemplu: „proces – verbal nr. 15/1997”</w:t>
            </w:r>
          </w:p>
        </w:tc>
        <w:tc>
          <w:tcPr>
            <w:tcW w:w="3004" w:type="dxa"/>
          </w:tcPr>
          <w:p w14:paraId="54705674" w14:textId="379D6177" w:rsidR="00D7515C" w:rsidRPr="00A862B6" w:rsidRDefault="002D5BB1">
            <w:pPr>
              <w:rPr>
                <w:rFonts w:ascii="Times New Roman" w:hAnsi="Times New Roman" w:cs="Times New Roman"/>
                <w:b/>
                <w:bCs/>
                <w:lang w:val="ro-MD"/>
              </w:rPr>
            </w:pPr>
            <w:r w:rsidRPr="00A862B6">
              <w:rPr>
                <w:rFonts w:ascii="Times New Roman" w:hAnsi="Times New Roman" w:cs="Times New Roman"/>
                <w:b/>
                <w:bCs/>
                <w:lang w:val="ro-MD"/>
              </w:rPr>
              <w:t>Se acceptă</w:t>
            </w:r>
          </w:p>
        </w:tc>
      </w:tr>
      <w:tr w:rsidR="00D7515C" w:rsidRPr="009E4C4A" w14:paraId="0134B3A1" w14:textId="77777777" w:rsidTr="00664E51">
        <w:trPr>
          <w:gridAfter w:val="1"/>
          <w:wAfter w:w="9" w:type="dxa"/>
        </w:trPr>
        <w:tc>
          <w:tcPr>
            <w:tcW w:w="5382" w:type="dxa"/>
          </w:tcPr>
          <w:p w14:paraId="23456554" w14:textId="77777777" w:rsidR="00D7515C" w:rsidRPr="009E4C4A" w:rsidRDefault="00D7515C" w:rsidP="00D7515C">
            <w:pPr>
              <w:jc w:val="center"/>
              <w:rPr>
                <w:rFonts w:ascii="Times New Roman" w:eastAsia="Times New Roman" w:hAnsi="Times New Roman" w:cs="Times New Roman"/>
                <w:lang w:val="ro-MD"/>
              </w:rPr>
            </w:pPr>
          </w:p>
        </w:tc>
        <w:tc>
          <w:tcPr>
            <w:tcW w:w="2557" w:type="dxa"/>
          </w:tcPr>
          <w:p w14:paraId="384CFBBE" w14:textId="2DB33CB6" w:rsidR="00D7515C" w:rsidRPr="00D7515C" w:rsidRDefault="00D7515C" w:rsidP="00D7515C">
            <w:pPr>
              <w:rPr>
                <w:rFonts w:ascii="Times New Roman" w:hAnsi="Times New Roman" w:cs="Times New Roman"/>
                <w:lang w:val="ro-MD"/>
              </w:rPr>
            </w:pPr>
            <w:r w:rsidRPr="009E4C4A">
              <w:rPr>
                <w:rFonts w:ascii="Times New Roman" w:hAnsi="Times New Roman" w:cs="Times New Roman"/>
                <w:lang w:val="ro-MD"/>
              </w:rPr>
              <w:t>Ministerul Justiției al Republicii Moldova</w:t>
            </w:r>
          </w:p>
        </w:tc>
        <w:tc>
          <w:tcPr>
            <w:tcW w:w="709" w:type="dxa"/>
          </w:tcPr>
          <w:p w14:paraId="7C6272A6" w14:textId="77777777" w:rsidR="00D7515C" w:rsidRPr="009E4C4A" w:rsidRDefault="00D7515C" w:rsidP="00D7515C">
            <w:pPr>
              <w:pStyle w:val="ListParagraph"/>
              <w:numPr>
                <w:ilvl w:val="0"/>
                <w:numId w:val="17"/>
              </w:numPr>
              <w:ind w:left="0" w:hanging="37"/>
              <w:jc w:val="center"/>
              <w:rPr>
                <w:rFonts w:ascii="Times New Roman" w:eastAsia="Times New Roman" w:hAnsi="Times New Roman" w:cs="Times New Roman"/>
                <w:lang w:val="ro-MD"/>
              </w:rPr>
            </w:pPr>
          </w:p>
        </w:tc>
        <w:tc>
          <w:tcPr>
            <w:tcW w:w="3091" w:type="dxa"/>
            <w:shd w:val="clear" w:color="auto" w:fill="auto"/>
          </w:tcPr>
          <w:p w14:paraId="67D54735" w14:textId="18365052" w:rsidR="00D7515C" w:rsidRPr="00A97BD1" w:rsidRDefault="00D7515C" w:rsidP="00D7515C">
            <w:pPr>
              <w:autoSpaceDE w:val="0"/>
              <w:autoSpaceDN w:val="0"/>
              <w:adjustRightInd w:val="0"/>
              <w:rPr>
                <w:rFonts w:ascii="Times New Roman" w:hAnsi="Times New Roman" w:cs="Times New Roman"/>
                <w:lang w:val="ro-MD"/>
              </w:rPr>
            </w:pPr>
            <w:r w:rsidRPr="00D7515C">
              <w:rPr>
                <w:rFonts w:ascii="Times New Roman" w:hAnsi="Times New Roman" w:cs="Times New Roman"/>
                <w:lang w:val="ro-MD"/>
              </w:rPr>
              <w:t xml:space="preserve">Totodată, considerăm oportună excluderea textului „înregistrat la Ministerul Justiției al Republicii Moldova cu nr. 04 din 21 august 2007”, deoarece </w:t>
            </w:r>
            <w:r w:rsidRPr="00D7515C">
              <w:rPr>
                <w:rFonts w:ascii="Times New Roman" w:hAnsi="Times New Roman" w:cs="Times New Roman"/>
                <w:lang w:val="ro-MD"/>
              </w:rPr>
              <w:lastRenderedPageBreak/>
              <w:t>este excedent, or, prezenta decizie</w:t>
            </w:r>
            <w:r w:rsidR="000D7479">
              <w:rPr>
                <w:rFonts w:ascii="Times New Roman" w:hAnsi="Times New Roman" w:cs="Times New Roman"/>
                <w:lang w:val="ro-MD"/>
              </w:rPr>
              <w:t xml:space="preserve"> </w:t>
            </w:r>
            <w:r w:rsidRPr="00D7515C">
              <w:rPr>
                <w:rFonts w:ascii="Times New Roman" w:hAnsi="Times New Roman" w:cs="Times New Roman"/>
                <w:lang w:val="ro-MD"/>
              </w:rPr>
              <w:t>a Ministerului Justiției se referă la actul normativ care a modificat actul normativ de bază.</w:t>
            </w:r>
          </w:p>
        </w:tc>
        <w:tc>
          <w:tcPr>
            <w:tcW w:w="3004" w:type="dxa"/>
          </w:tcPr>
          <w:p w14:paraId="7C19B4A9" w14:textId="521F8438" w:rsidR="00D7515C" w:rsidRPr="009E4C4A" w:rsidRDefault="00984171">
            <w:pPr>
              <w:rPr>
                <w:rFonts w:ascii="Times New Roman" w:hAnsi="Times New Roman" w:cs="Times New Roman"/>
                <w:lang w:val="ro-MD"/>
              </w:rPr>
            </w:pPr>
            <w:r w:rsidRPr="005C7582">
              <w:rPr>
                <w:rFonts w:ascii="Times New Roman" w:hAnsi="Times New Roman" w:cs="Times New Roman"/>
                <w:b/>
                <w:bCs/>
                <w:lang w:val="ro-MD"/>
              </w:rPr>
              <w:lastRenderedPageBreak/>
              <w:t>Se acceptă</w:t>
            </w:r>
          </w:p>
        </w:tc>
      </w:tr>
      <w:tr w:rsidR="00D7515C" w:rsidRPr="009E4C4A" w14:paraId="7F6CE062" w14:textId="77777777" w:rsidTr="00664E51">
        <w:trPr>
          <w:gridAfter w:val="1"/>
          <w:wAfter w:w="9" w:type="dxa"/>
        </w:trPr>
        <w:tc>
          <w:tcPr>
            <w:tcW w:w="5382" w:type="dxa"/>
          </w:tcPr>
          <w:p w14:paraId="5BC9D852" w14:textId="77777777" w:rsidR="00D7515C" w:rsidRPr="009E4C4A" w:rsidRDefault="00D7515C" w:rsidP="00D7515C">
            <w:pPr>
              <w:jc w:val="center"/>
              <w:rPr>
                <w:rFonts w:ascii="Times New Roman" w:eastAsia="Times New Roman" w:hAnsi="Times New Roman" w:cs="Times New Roman"/>
                <w:lang w:val="ro-MD"/>
              </w:rPr>
            </w:pPr>
          </w:p>
        </w:tc>
        <w:tc>
          <w:tcPr>
            <w:tcW w:w="2557" w:type="dxa"/>
          </w:tcPr>
          <w:p w14:paraId="697CA67E" w14:textId="384B1D0E" w:rsidR="00D7515C" w:rsidRPr="009E4C4A" w:rsidRDefault="00D7515C" w:rsidP="00D7515C">
            <w:pPr>
              <w:rPr>
                <w:rFonts w:ascii="Times New Roman" w:hAnsi="Times New Roman" w:cs="Times New Roman"/>
                <w:bCs/>
                <w:lang w:val="ro-MD"/>
              </w:rPr>
            </w:pPr>
            <w:r w:rsidRPr="009E4C4A">
              <w:rPr>
                <w:rFonts w:ascii="Times New Roman" w:hAnsi="Times New Roman" w:cs="Times New Roman"/>
                <w:bCs/>
                <w:lang w:val="ro-MD"/>
              </w:rPr>
              <w:t>BC „Victoriabank” S.A.</w:t>
            </w:r>
          </w:p>
        </w:tc>
        <w:tc>
          <w:tcPr>
            <w:tcW w:w="709" w:type="dxa"/>
          </w:tcPr>
          <w:p w14:paraId="6E0C0E68" w14:textId="77777777" w:rsidR="00D7515C" w:rsidRPr="009E4C4A" w:rsidRDefault="00D7515C" w:rsidP="00D7515C">
            <w:pPr>
              <w:pStyle w:val="ListParagraph"/>
              <w:numPr>
                <w:ilvl w:val="0"/>
                <w:numId w:val="17"/>
              </w:numPr>
              <w:ind w:left="0" w:hanging="37"/>
              <w:jc w:val="center"/>
              <w:rPr>
                <w:rFonts w:ascii="Times New Roman" w:eastAsia="Times New Roman" w:hAnsi="Times New Roman" w:cs="Times New Roman"/>
                <w:lang w:val="ro-MD"/>
              </w:rPr>
            </w:pPr>
          </w:p>
        </w:tc>
        <w:tc>
          <w:tcPr>
            <w:tcW w:w="3091" w:type="dxa"/>
            <w:shd w:val="clear" w:color="auto" w:fill="auto"/>
          </w:tcPr>
          <w:p w14:paraId="5F91956E" w14:textId="36FDEB77" w:rsidR="00D7515C" w:rsidRPr="009E4C4A" w:rsidRDefault="00D7515C">
            <w:pPr>
              <w:autoSpaceDE w:val="0"/>
              <w:autoSpaceDN w:val="0"/>
              <w:adjustRightInd w:val="0"/>
              <w:rPr>
                <w:rFonts w:ascii="Times New Roman" w:hAnsi="Times New Roman" w:cs="Times New Roman"/>
                <w:lang w:val="ro-MD"/>
              </w:rPr>
            </w:pPr>
            <w:r w:rsidRPr="009E4C4A">
              <w:rPr>
                <w:rFonts w:ascii="Times New Roman" w:hAnsi="Times New Roman" w:cs="Times New Roman"/>
                <w:lang w:val="ro-MD"/>
              </w:rPr>
              <w:t xml:space="preserve">În grupa de conturi „1060 Mijloace plasate overnight” propunem includerea unui </w:t>
            </w:r>
            <w:r w:rsidR="005F459E">
              <w:rPr>
                <w:rFonts w:ascii="Times New Roman" w:hAnsi="Times New Roman" w:cs="Times New Roman"/>
                <w:lang w:val="ro-MD"/>
              </w:rPr>
              <w:t>c</w:t>
            </w:r>
            <w:r w:rsidRPr="0045048A">
              <w:rPr>
                <w:rFonts w:ascii="Times New Roman" w:hAnsi="Times New Roman" w:cs="Times New Roman"/>
                <w:lang w:val="ro-MD"/>
              </w:rPr>
              <w:t>ontra-</w:t>
            </w:r>
            <w:r w:rsidR="005F459E">
              <w:rPr>
                <w:rFonts w:ascii="Times New Roman" w:hAnsi="Times New Roman" w:cs="Times New Roman"/>
                <w:lang w:val="ro-MD"/>
              </w:rPr>
              <w:t>c</w:t>
            </w:r>
            <w:r w:rsidRPr="0045048A">
              <w:rPr>
                <w:rFonts w:ascii="Times New Roman" w:hAnsi="Times New Roman" w:cs="Times New Roman"/>
                <w:lang w:val="ro-MD"/>
              </w:rPr>
              <w:t>ont</w:t>
            </w:r>
            <w:r w:rsidRPr="009E4C4A">
              <w:rPr>
                <w:rFonts w:ascii="Times New Roman" w:hAnsi="Times New Roman" w:cs="Times New Roman"/>
                <w:lang w:val="ro-MD"/>
              </w:rPr>
              <w:t xml:space="preserve"> pentru reflectarea </w:t>
            </w:r>
            <w:r w:rsidR="0086536B">
              <w:rPr>
                <w:rFonts w:ascii="Times New Roman" w:hAnsi="Times New Roman" w:cs="Times New Roman"/>
                <w:lang w:val="ro-MD"/>
              </w:rPr>
              <w:t>r</w:t>
            </w:r>
            <w:r w:rsidRPr="009E4C4A">
              <w:rPr>
                <w:rFonts w:ascii="Times New Roman" w:hAnsi="Times New Roman" w:cs="Times New Roman"/>
                <w:lang w:val="ro-MD"/>
              </w:rPr>
              <w:t>educerilor pentru pierderi așteptate din depreciere destinat acestei grupe de conturi.</w:t>
            </w:r>
          </w:p>
        </w:tc>
        <w:tc>
          <w:tcPr>
            <w:tcW w:w="3004" w:type="dxa"/>
          </w:tcPr>
          <w:p w14:paraId="6FAE7292" w14:textId="429228D3" w:rsidR="00D7515C" w:rsidRPr="00A97BD1" w:rsidRDefault="00D7515C" w:rsidP="00D7515C">
            <w:pPr>
              <w:pStyle w:val="Heading2"/>
              <w:jc w:val="both"/>
              <w:outlineLvl w:val="1"/>
              <w:rPr>
                <w:sz w:val="22"/>
                <w:szCs w:val="22"/>
                <w:lang w:val="ro-MD"/>
              </w:rPr>
            </w:pPr>
            <w:r w:rsidRPr="00A97BD1">
              <w:rPr>
                <w:sz w:val="22"/>
                <w:szCs w:val="22"/>
                <w:lang w:val="ro-MD"/>
              </w:rPr>
              <w:t>Se acceptă</w:t>
            </w:r>
          </w:p>
          <w:p w14:paraId="6F1E7B4B" w14:textId="46789B0C" w:rsidR="00D7515C" w:rsidRPr="00A97BD1" w:rsidRDefault="00D7515C" w:rsidP="00D7515C">
            <w:pPr>
              <w:pStyle w:val="Heading2"/>
              <w:jc w:val="both"/>
              <w:outlineLvl w:val="1"/>
              <w:rPr>
                <w:b w:val="0"/>
                <w:bCs w:val="0"/>
                <w:sz w:val="22"/>
                <w:szCs w:val="22"/>
                <w:lang w:val="ro-MD"/>
              </w:rPr>
            </w:pPr>
          </w:p>
        </w:tc>
      </w:tr>
      <w:tr w:rsidR="00D7515C" w:rsidRPr="009E4C4A" w14:paraId="6C2FB1D5" w14:textId="77777777" w:rsidTr="00664E51">
        <w:trPr>
          <w:gridAfter w:val="1"/>
          <w:wAfter w:w="9" w:type="dxa"/>
        </w:trPr>
        <w:tc>
          <w:tcPr>
            <w:tcW w:w="5382" w:type="dxa"/>
          </w:tcPr>
          <w:p w14:paraId="03FE4587" w14:textId="77777777" w:rsidR="00D7515C" w:rsidRPr="009E4C4A" w:rsidRDefault="00D7515C" w:rsidP="00D7515C">
            <w:pPr>
              <w:jc w:val="center"/>
              <w:rPr>
                <w:rFonts w:ascii="Times New Roman" w:eastAsia="Times New Roman" w:hAnsi="Times New Roman" w:cs="Times New Roman"/>
                <w:lang w:val="ro-MD"/>
              </w:rPr>
            </w:pPr>
          </w:p>
        </w:tc>
        <w:tc>
          <w:tcPr>
            <w:tcW w:w="2557" w:type="dxa"/>
          </w:tcPr>
          <w:p w14:paraId="4CBDF57A" w14:textId="1E3ED417" w:rsidR="00D7515C" w:rsidRPr="009E4C4A" w:rsidRDefault="00D7515C" w:rsidP="00D7515C">
            <w:pPr>
              <w:rPr>
                <w:rFonts w:ascii="Times New Roman" w:hAnsi="Times New Roman" w:cs="Times New Roman"/>
                <w:bCs/>
                <w:lang w:val="ro-MD"/>
              </w:rPr>
            </w:pPr>
            <w:r w:rsidRPr="009E4C4A">
              <w:rPr>
                <w:rFonts w:ascii="Times New Roman" w:hAnsi="Times New Roman" w:cs="Times New Roman"/>
                <w:lang w:val="ro-MD"/>
              </w:rPr>
              <w:t>Ministerul Justiției al Republicii Moldova</w:t>
            </w:r>
          </w:p>
        </w:tc>
        <w:tc>
          <w:tcPr>
            <w:tcW w:w="709" w:type="dxa"/>
          </w:tcPr>
          <w:p w14:paraId="2E7F3452" w14:textId="77777777" w:rsidR="00D7515C" w:rsidRPr="009E4C4A" w:rsidRDefault="00D7515C" w:rsidP="00D7515C">
            <w:pPr>
              <w:pStyle w:val="ListParagraph"/>
              <w:numPr>
                <w:ilvl w:val="0"/>
                <w:numId w:val="17"/>
              </w:numPr>
              <w:ind w:left="0" w:hanging="37"/>
              <w:jc w:val="center"/>
              <w:rPr>
                <w:rFonts w:ascii="Times New Roman" w:eastAsia="Times New Roman" w:hAnsi="Times New Roman" w:cs="Times New Roman"/>
                <w:lang w:val="ro-MD"/>
              </w:rPr>
            </w:pPr>
          </w:p>
        </w:tc>
        <w:tc>
          <w:tcPr>
            <w:tcW w:w="3091" w:type="dxa"/>
            <w:shd w:val="clear" w:color="auto" w:fill="auto"/>
          </w:tcPr>
          <w:p w14:paraId="09CFEAE4" w14:textId="77777777" w:rsidR="00D7515C" w:rsidRPr="00D7515C" w:rsidRDefault="00D7515C" w:rsidP="00D7515C">
            <w:pPr>
              <w:autoSpaceDE w:val="0"/>
              <w:autoSpaceDN w:val="0"/>
              <w:adjustRightInd w:val="0"/>
              <w:rPr>
                <w:rFonts w:ascii="Times New Roman" w:hAnsi="Times New Roman" w:cs="Times New Roman"/>
                <w:lang w:val="ro-MD"/>
              </w:rPr>
            </w:pPr>
            <w:r w:rsidRPr="00D7515C">
              <w:rPr>
                <w:rFonts w:ascii="Times New Roman" w:hAnsi="Times New Roman" w:cs="Times New Roman"/>
                <w:lang w:val="ro-MD"/>
              </w:rPr>
              <w:t>De ordin tehnic, relevăm că includerea noilor conturi în capitolul II și capitolul III urmează a fi realizată în formă tabelară în conformitate cu versiunea în vigoare a Planului de conturi al evidenței contabile în băncile licențiate din Republica Moldova. Respectiv, prezentăm un exemplu, după cum urmează:</w:t>
            </w:r>
          </w:p>
          <w:p w14:paraId="0872D1D9" w14:textId="77777777" w:rsidR="00D7515C" w:rsidRPr="00D7515C" w:rsidRDefault="00D7515C" w:rsidP="00D7515C">
            <w:pPr>
              <w:autoSpaceDE w:val="0"/>
              <w:autoSpaceDN w:val="0"/>
              <w:adjustRightInd w:val="0"/>
              <w:rPr>
                <w:rFonts w:ascii="Times New Roman" w:hAnsi="Times New Roman" w:cs="Times New Roman"/>
                <w:lang w:val="ro-MD"/>
              </w:rPr>
            </w:pPr>
            <w:r w:rsidRPr="00D7515C">
              <w:rPr>
                <w:rFonts w:ascii="Times New Roman" w:hAnsi="Times New Roman" w:cs="Times New Roman"/>
                <w:lang w:val="ro-MD"/>
              </w:rPr>
              <w:t>2) La capitolul II „Nomenclatorul conturilor contabile”</w:t>
            </w:r>
          </w:p>
          <w:p w14:paraId="37E91AF8" w14:textId="77777777" w:rsidR="00D7515C" w:rsidRPr="00D7515C" w:rsidRDefault="00D7515C" w:rsidP="00D7515C">
            <w:pPr>
              <w:autoSpaceDE w:val="0"/>
              <w:autoSpaceDN w:val="0"/>
              <w:adjustRightInd w:val="0"/>
              <w:rPr>
                <w:rFonts w:ascii="Times New Roman" w:hAnsi="Times New Roman" w:cs="Times New Roman"/>
                <w:lang w:val="ro-MD"/>
              </w:rPr>
            </w:pPr>
            <w:r w:rsidRPr="00D7515C">
              <w:rPr>
                <w:rFonts w:ascii="Times New Roman" w:hAnsi="Times New Roman" w:cs="Times New Roman"/>
                <w:lang w:val="ro-MD"/>
              </w:rPr>
              <w:t>„a) grupa de conturi 1790 „Conturi de tranzit și suspendare” se completează cu un cont, cu următorul cuprins:</w:t>
            </w:r>
          </w:p>
          <w:p w14:paraId="04BC6B39" w14:textId="77777777" w:rsidR="00D7515C" w:rsidRPr="00D7515C" w:rsidRDefault="00D7515C" w:rsidP="00D7515C">
            <w:pPr>
              <w:autoSpaceDE w:val="0"/>
              <w:autoSpaceDN w:val="0"/>
              <w:adjustRightInd w:val="0"/>
              <w:rPr>
                <w:rFonts w:ascii="Times New Roman" w:hAnsi="Times New Roman" w:cs="Times New Roman"/>
                <w:lang w:val="ro-MD"/>
              </w:rPr>
            </w:pPr>
          </w:p>
          <w:tbl>
            <w:tblPr>
              <w:tblStyle w:val="TableGrid"/>
              <w:tblW w:w="0" w:type="auto"/>
              <w:tblLayout w:type="fixed"/>
              <w:tblLook w:val="04A0" w:firstRow="1" w:lastRow="0" w:firstColumn="1" w:lastColumn="0" w:noHBand="0" w:noVBand="1"/>
            </w:tblPr>
            <w:tblGrid>
              <w:gridCol w:w="738"/>
              <w:gridCol w:w="2127"/>
            </w:tblGrid>
            <w:tr w:rsidR="00984171" w:rsidRPr="000A12E4" w14:paraId="25929F86" w14:textId="77777777" w:rsidTr="00A862B6">
              <w:tc>
                <w:tcPr>
                  <w:tcW w:w="738" w:type="dxa"/>
                </w:tcPr>
                <w:p w14:paraId="6B39293B" w14:textId="77777777" w:rsidR="00984171" w:rsidRPr="000A12E4" w:rsidRDefault="00984171" w:rsidP="000A12E4">
                  <w:pPr>
                    <w:autoSpaceDE w:val="0"/>
                    <w:autoSpaceDN w:val="0"/>
                    <w:adjustRightInd w:val="0"/>
                    <w:rPr>
                      <w:rFonts w:ascii="Times New Roman" w:hAnsi="Times New Roman" w:cs="Times New Roman"/>
                      <w:lang w:val="ro-MD"/>
                    </w:rPr>
                  </w:pPr>
                  <w:r w:rsidRPr="000A12E4">
                    <w:rPr>
                      <w:rFonts w:ascii="Times New Roman" w:hAnsi="Times New Roman" w:cs="Times New Roman"/>
                      <w:lang w:val="ro-MD"/>
                    </w:rPr>
                    <w:t>1799</w:t>
                  </w:r>
                </w:p>
              </w:tc>
              <w:tc>
                <w:tcPr>
                  <w:tcW w:w="2127" w:type="dxa"/>
                </w:tcPr>
                <w:p w14:paraId="0AEF9E25" w14:textId="3324E839" w:rsidR="00984171" w:rsidRPr="000A12E4" w:rsidRDefault="00984171" w:rsidP="000A12E4">
                  <w:pPr>
                    <w:autoSpaceDE w:val="0"/>
                    <w:autoSpaceDN w:val="0"/>
                    <w:adjustRightInd w:val="0"/>
                    <w:rPr>
                      <w:rFonts w:ascii="Times New Roman" w:hAnsi="Times New Roman" w:cs="Times New Roman"/>
                      <w:lang w:val="ro-MD"/>
                    </w:rPr>
                  </w:pPr>
                  <w:r w:rsidRPr="000A12E4">
                    <w:rPr>
                      <w:rFonts w:ascii="Times New Roman" w:hAnsi="Times New Roman" w:cs="Times New Roman"/>
                      <w:lang w:val="ro-MD"/>
                    </w:rPr>
                    <w:t>Operațiuni a</w:t>
                  </w:r>
                  <w:r w:rsidR="00FB4F7F">
                    <w:rPr>
                      <w:rFonts w:ascii="Times New Roman" w:hAnsi="Times New Roman" w:cs="Times New Roman"/>
                      <w:lang w:val="ro-MD"/>
                    </w:rPr>
                    <w:t>le</w:t>
                  </w:r>
                  <w:r w:rsidRPr="000A12E4">
                    <w:rPr>
                      <w:rFonts w:ascii="Times New Roman" w:hAnsi="Times New Roman" w:cs="Times New Roman"/>
                      <w:lang w:val="ro-MD"/>
                    </w:rPr>
                    <w:t xml:space="preserve"> sistemului de plăți instant</w:t>
                  </w:r>
                </w:p>
              </w:tc>
            </w:tr>
          </w:tbl>
          <w:p w14:paraId="6106EFF3" w14:textId="3FDA7229" w:rsidR="00D7515C" w:rsidRPr="009E4C4A" w:rsidRDefault="00D7515C" w:rsidP="00D7515C">
            <w:pPr>
              <w:autoSpaceDE w:val="0"/>
              <w:autoSpaceDN w:val="0"/>
              <w:adjustRightInd w:val="0"/>
              <w:rPr>
                <w:rFonts w:ascii="Times New Roman" w:hAnsi="Times New Roman" w:cs="Times New Roman"/>
                <w:lang w:val="ro-MD"/>
              </w:rPr>
            </w:pPr>
            <w:r w:rsidRPr="00D7515C">
              <w:rPr>
                <w:rFonts w:ascii="Times New Roman" w:hAnsi="Times New Roman" w:cs="Times New Roman"/>
                <w:lang w:val="ro-MD"/>
              </w:rPr>
              <w:t>”.</w:t>
            </w:r>
          </w:p>
        </w:tc>
        <w:tc>
          <w:tcPr>
            <w:tcW w:w="3004" w:type="dxa"/>
          </w:tcPr>
          <w:p w14:paraId="0DB30864" w14:textId="6959C3B2" w:rsidR="00D7515C" w:rsidRDefault="00141138" w:rsidP="00D7515C">
            <w:pPr>
              <w:pStyle w:val="Heading2"/>
              <w:jc w:val="both"/>
              <w:outlineLvl w:val="1"/>
              <w:rPr>
                <w:sz w:val="22"/>
                <w:szCs w:val="22"/>
                <w:lang w:val="ro-MD"/>
              </w:rPr>
            </w:pPr>
            <w:r>
              <w:rPr>
                <w:sz w:val="22"/>
                <w:szCs w:val="22"/>
                <w:lang w:val="ro-MD"/>
              </w:rPr>
              <w:t>Comentariu</w:t>
            </w:r>
            <w:r w:rsidR="0045048A">
              <w:rPr>
                <w:sz w:val="22"/>
                <w:szCs w:val="22"/>
                <w:lang w:val="ro-MD"/>
              </w:rPr>
              <w:t>:</w:t>
            </w:r>
          </w:p>
          <w:p w14:paraId="62302606" w14:textId="3277AD4C" w:rsidR="00141138" w:rsidRPr="000D7479" w:rsidRDefault="00141138" w:rsidP="00A862B6">
            <w:pPr>
              <w:rPr>
                <w:lang w:val="ro-MD"/>
              </w:rPr>
            </w:pPr>
            <w:r w:rsidRPr="00A862B6">
              <w:rPr>
                <w:rFonts w:ascii="Times New Roman" w:hAnsi="Times New Roman" w:cs="Times New Roman"/>
                <w:lang w:val="ro-MD"/>
              </w:rPr>
              <w:t xml:space="preserve">Planul de conturi </w:t>
            </w:r>
            <w:r>
              <w:rPr>
                <w:rFonts w:ascii="Times New Roman" w:hAnsi="Times New Roman" w:cs="Times New Roman"/>
                <w:lang w:val="ro-MD"/>
              </w:rPr>
              <w:t xml:space="preserve">este un act normativ care nu conține tabele. Din acest motiv, </w:t>
            </w:r>
            <w:r w:rsidR="009F390F">
              <w:rPr>
                <w:rFonts w:ascii="Times New Roman" w:hAnsi="Times New Roman" w:cs="Times New Roman"/>
                <w:lang w:val="ro-MD"/>
              </w:rPr>
              <w:t>considerăm că ar fi oportun de a păstra forma actuală întru evitarea supraîncarcării actului normativ.</w:t>
            </w:r>
          </w:p>
        </w:tc>
      </w:tr>
      <w:tr w:rsidR="00D7515C" w:rsidRPr="009E4C4A" w14:paraId="1260EC29" w14:textId="77777777" w:rsidTr="00664E51">
        <w:trPr>
          <w:gridAfter w:val="1"/>
          <w:wAfter w:w="9" w:type="dxa"/>
        </w:trPr>
        <w:tc>
          <w:tcPr>
            <w:tcW w:w="5382" w:type="dxa"/>
          </w:tcPr>
          <w:p w14:paraId="2F443289" w14:textId="77777777" w:rsidR="00D7515C" w:rsidRPr="009E4C4A" w:rsidRDefault="00D7515C" w:rsidP="00D7515C">
            <w:pPr>
              <w:jc w:val="center"/>
              <w:rPr>
                <w:rFonts w:ascii="Times New Roman" w:eastAsia="Times New Roman" w:hAnsi="Times New Roman" w:cs="Times New Roman"/>
                <w:lang w:val="ro-MD"/>
              </w:rPr>
            </w:pPr>
          </w:p>
        </w:tc>
        <w:tc>
          <w:tcPr>
            <w:tcW w:w="2557" w:type="dxa"/>
          </w:tcPr>
          <w:p w14:paraId="6653841D" w14:textId="68EFE085" w:rsidR="00D7515C" w:rsidRPr="009E4C4A" w:rsidRDefault="00D7515C" w:rsidP="00D7515C">
            <w:pPr>
              <w:rPr>
                <w:rFonts w:ascii="Times New Roman" w:hAnsi="Times New Roman" w:cs="Times New Roman"/>
                <w:bCs/>
                <w:lang w:val="ro-MD"/>
              </w:rPr>
            </w:pPr>
            <w:r w:rsidRPr="009E4C4A">
              <w:rPr>
                <w:rFonts w:ascii="Times New Roman" w:hAnsi="Times New Roman" w:cs="Times New Roman"/>
                <w:bCs/>
                <w:lang w:val="ro-MD"/>
              </w:rPr>
              <w:t>BC „Victoriabank” S.A.</w:t>
            </w:r>
          </w:p>
        </w:tc>
        <w:tc>
          <w:tcPr>
            <w:tcW w:w="709" w:type="dxa"/>
          </w:tcPr>
          <w:p w14:paraId="2D003E47" w14:textId="77777777" w:rsidR="00D7515C" w:rsidRPr="009E4C4A" w:rsidRDefault="00D7515C" w:rsidP="00D7515C">
            <w:pPr>
              <w:pStyle w:val="ListParagraph"/>
              <w:numPr>
                <w:ilvl w:val="0"/>
                <w:numId w:val="17"/>
              </w:numPr>
              <w:ind w:left="0" w:hanging="37"/>
              <w:jc w:val="center"/>
              <w:rPr>
                <w:rFonts w:ascii="Times New Roman" w:eastAsia="Times New Roman" w:hAnsi="Times New Roman" w:cs="Times New Roman"/>
                <w:lang w:val="ro-MD"/>
              </w:rPr>
            </w:pPr>
          </w:p>
        </w:tc>
        <w:tc>
          <w:tcPr>
            <w:tcW w:w="3091" w:type="dxa"/>
            <w:shd w:val="clear" w:color="auto" w:fill="auto"/>
          </w:tcPr>
          <w:p w14:paraId="7D61F94A" w14:textId="362A5F65" w:rsidR="00D7515C" w:rsidRPr="009E4C4A" w:rsidRDefault="00D7515C">
            <w:pPr>
              <w:autoSpaceDE w:val="0"/>
              <w:autoSpaceDN w:val="0"/>
              <w:adjustRightInd w:val="0"/>
              <w:rPr>
                <w:rFonts w:ascii="Times New Roman" w:hAnsi="Times New Roman" w:cs="Times New Roman"/>
                <w:lang w:val="ro-MD"/>
              </w:rPr>
            </w:pPr>
            <w:r w:rsidRPr="009E4C4A">
              <w:rPr>
                <w:rFonts w:ascii="Times New Roman" w:hAnsi="Times New Roman" w:cs="Times New Roman"/>
                <w:lang w:val="ro-MD"/>
              </w:rPr>
              <w:t xml:space="preserve">În scopul monitorizării și urmăririi debitorilor băncii pentru care au fost executate </w:t>
            </w:r>
            <w:r w:rsidR="00FB4F7F">
              <w:rPr>
                <w:rFonts w:ascii="Times New Roman" w:hAnsi="Times New Roman" w:cs="Times New Roman"/>
                <w:lang w:val="ro-MD"/>
              </w:rPr>
              <w:t>g</w:t>
            </w:r>
            <w:r w:rsidRPr="009E4C4A">
              <w:rPr>
                <w:rFonts w:ascii="Times New Roman" w:hAnsi="Times New Roman" w:cs="Times New Roman"/>
                <w:lang w:val="ro-MD"/>
              </w:rPr>
              <w:t>aranțiile de Stat și/sau alte aranții bancare, propunem includerea unui cont nou în „Clasa 7 Conturi Memorandum” în care se vor reflecta garanțiile executate și urmărirea ulterioar</w:t>
            </w:r>
            <w:r w:rsidR="00A22F3D">
              <w:rPr>
                <w:rFonts w:ascii="Times New Roman" w:hAnsi="Times New Roman" w:cs="Times New Roman"/>
                <w:lang w:val="ro-MD"/>
              </w:rPr>
              <w:t>ă</w:t>
            </w:r>
            <w:r w:rsidRPr="009E4C4A">
              <w:rPr>
                <w:rFonts w:ascii="Times New Roman" w:hAnsi="Times New Roman" w:cs="Times New Roman"/>
                <w:lang w:val="ro-MD"/>
              </w:rPr>
              <w:t xml:space="preserve"> a debitorilor băncii cu scopul recuperării mărimii acestora.</w:t>
            </w:r>
          </w:p>
        </w:tc>
        <w:tc>
          <w:tcPr>
            <w:tcW w:w="3004" w:type="dxa"/>
          </w:tcPr>
          <w:p w14:paraId="26BB64DD" w14:textId="50FEC1F5" w:rsidR="0045048A" w:rsidRPr="0045048A" w:rsidRDefault="0045048A" w:rsidP="0045048A">
            <w:pPr>
              <w:pStyle w:val="Heading2"/>
              <w:jc w:val="both"/>
              <w:outlineLvl w:val="1"/>
              <w:rPr>
                <w:sz w:val="22"/>
                <w:szCs w:val="22"/>
                <w:lang w:val="ro-MD"/>
              </w:rPr>
            </w:pPr>
            <w:r w:rsidRPr="0045048A">
              <w:rPr>
                <w:sz w:val="22"/>
                <w:szCs w:val="22"/>
                <w:lang w:val="ro-MD"/>
              </w:rPr>
              <w:t>Comentariu</w:t>
            </w:r>
            <w:r>
              <w:rPr>
                <w:sz w:val="22"/>
                <w:szCs w:val="22"/>
                <w:lang w:val="ro-MD"/>
              </w:rPr>
              <w:t>:</w:t>
            </w:r>
          </w:p>
          <w:p w14:paraId="32A5815F" w14:textId="09AEB288" w:rsidR="00D7515C" w:rsidRPr="0045048A" w:rsidRDefault="0045048A" w:rsidP="0045048A">
            <w:pPr>
              <w:pStyle w:val="Heading2"/>
              <w:jc w:val="left"/>
              <w:outlineLvl w:val="1"/>
              <w:rPr>
                <w:b w:val="0"/>
                <w:bCs w:val="0"/>
                <w:sz w:val="22"/>
                <w:szCs w:val="22"/>
                <w:lang w:val="ro-MD"/>
              </w:rPr>
            </w:pPr>
            <w:r w:rsidRPr="0045048A">
              <w:rPr>
                <w:b w:val="0"/>
                <w:bCs w:val="0"/>
                <w:sz w:val="22"/>
                <w:szCs w:val="22"/>
                <w:lang w:val="ro-MD"/>
              </w:rPr>
              <w:t>Banca în baza procedurilor contabile interne poate să dezvolte independent conturi analitice extrabilanțiere pentru evidența operațiunilor corespunzătoare necesităților generate conform esenței economice.</w:t>
            </w:r>
          </w:p>
        </w:tc>
      </w:tr>
      <w:tr w:rsidR="00D7515C" w:rsidRPr="009E4C4A" w14:paraId="653B2453" w14:textId="77777777" w:rsidTr="00664E51">
        <w:trPr>
          <w:gridAfter w:val="1"/>
          <w:wAfter w:w="9" w:type="dxa"/>
        </w:trPr>
        <w:tc>
          <w:tcPr>
            <w:tcW w:w="5382" w:type="dxa"/>
          </w:tcPr>
          <w:p w14:paraId="21F8E511" w14:textId="77777777" w:rsidR="00D7515C" w:rsidRPr="009E4C4A" w:rsidRDefault="00D7515C" w:rsidP="00D7515C">
            <w:pPr>
              <w:jc w:val="center"/>
              <w:rPr>
                <w:rFonts w:ascii="Times New Roman" w:eastAsia="Times New Roman" w:hAnsi="Times New Roman" w:cs="Times New Roman"/>
                <w:lang w:val="ro-MD"/>
              </w:rPr>
            </w:pPr>
          </w:p>
        </w:tc>
        <w:tc>
          <w:tcPr>
            <w:tcW w:w="2557" w:type="dxa"/>
          </w:tcPr>
          <w:p w14:paraId="64788135" w14:textId="2048397D" w:rsidR="00D7515C" w:rsidRPr="009E4C4A" w:rsidRDefault="00D7515C" w:rsidP="00D7515C">
            <w:pPr>
              <w:rPr>
                <w:rFonts w:ascii="Times New Roman" w:hAnsi="Times New Roman" w:cs="Times New Roman"/>
                <w:bCs/>
                <w:lang w:val="ro-MD"/>
              </w:rPr>
            </w:pPr>
            <w:r w:rsidRPr="009E4C4A">
              <w:rPr>
                <w:rFonts w:ascii="Times New Roman" w:hAnsi="Times New Roman" w:cs="Times New Roman"/>
                <w:bCs/>
                <w:lang w:val="ro-MD"/>
              </w:rPr>
              <w:t>BC „Moldindconbank” S.A.</w:t>
            </w:r>
          </w:p>
        </w:tc>
        <w:tc>
          <w:tcPr>
            <w:tcW w:w="709" w:type="dxa"/>
          </w:tcPr>
          <w:p w14:paraId="7E01CBC1" w14:textId="77777777" w:rsidR="00D7515C" w:rsidRPr="009E4C4A" w:rsidRDefault="00D7515C" w:rsidP="00D7515C">
            <w:pPr>
              <w:pStyle w:val="ListParagraph"/>
              <w:numPr>
                <w:ilvl w:val="0"/>
                <w:numId w:val="17"/>
              </w:numPr>
              <w:ind w:left="0" w:hanging="37"/>
              <w:jc w:val="center"/>
              <w:rPr>
                <w:rFonts w:ascii="Times New Roman" w:eastAsia="Times New Roman" w:hAnsi="Times New Roman" w:cs="Times New Roman"/>
                <w:lang w:val="ro-MD"/>
              </w:rPr>
            </w:pPr>
          </w:p>
        </w:tc>
        <w:tc>
          <w:tcPr>
            <w:tcW w:w="3091" w:type="dxa"/>
            <w:shd w:val="clear" w:color="auto" w:fill="auto"/>
          </w:tcPr>
          <w:p w14:paraId="2366B10D" w14:textId="5F4D16A0"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xml:space="preserve">Se propune de a analiza oportunitatea utilizării conturilor 2258 și 2259 în calitate de  conturi universale ale clientului cu operarea următoarelor ajustări în Planul de conturi: </w:t>
            </w:r>
          </w:p>
          <w:p w14:paraId="656E29CE"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„Contul 2258 este destinat pentru evidenţa mijloacelor băneşti depuse în numerar/transferate de către persoanele juridice şi persoanele fizice care practică activitate de întreprinzător sau alt gen de activitate, inclusiv pentru efectuarea operaţiunilor cu carduri de plată, la care se calculează dobândă în conformitate cu prevederile contractului.</w:t>
            </w:r>
          </w:p>
          <w:p w14:paraId="4E46C1F1"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xml:space="preserve">În creditul contului se înregistrează: </w:t>
            </w:r>
          </w:p>
          <w:p w14:paraId="0B8B1FEF"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lastRenderedPageBreak/>
              <w:t>- depunerile în numerar;</w:t>
            </w:r>
          </w:p>
          <w:p w14:paraId="7354BE15"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mijloacele băneşti încasate de la vânzarea mărfurilor, prestarea serviciilor, executarea lucrărilor;</w:t>
            </w:r>
          </w:p>
          <w:p w14:paraId="150D168E"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creditele acordate;</w:t>
            </w:r>
          </w:p>
          <w:p w14:paraId="322700DB"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mijloacelor băneşti de la vânzarea valorilor mobiliare ale clientului;</w:t>
            </w:r>
          </w:p>
          <w:p w14:paraId="1D589F09"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mijloacele băneşti de la conturile de tranzit;</w:t>
            </w:r>
          </w:p>
          <w:p w14:paraId="6BD9EF10"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alte operaţiuni.</w:t>
            </w:r>
          </w:p>
          <w:p w14:paraId="22B52E01"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xml:space="preserve">În debitul contului se înregistrează: </w:t>
            </w:r>
          </w:p>
          <w:p w14:paraId="1BB29323"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eliberarea numerarului titularului de cont;</w:t>
            </w:r>
          </w:p>
          <w:p w14:paraId="2CC37717"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efectuarea decontărilor între clientela băncii;</w:t>
            </w:r>
          </w:p>
          <w:p w14:paraId="61BC6ADF"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transferarea mijloacelor băneşti la contul de card în favoarea clientului;</w:t>
            </w:r>
          </w:p>
          <w:p w14:paraId="145CCBB9"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procurarea valorilor mobiliare;</w:t>
            </w:r>
          </w:p>
          <w:p w14:paraId="47004276"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rambursarea creditelor primite;</w:t>
            </w:r>
          </w:p>
          <w:p w14:paraId="700282EE"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achitarea dobânzilor calculate la credite şi creanţe privind leasingul financiar;</w:t>
            </w:r>
          </w:p>
          <w:p w14:paraId="2B65CB0A"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plata la buget a impozitelor, taxelor;</w:t>
            </w:r>
          </w:p>
          <w:p w14:paraId="7B2B0BBB"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rambursarea avansurilor primite anterior pentru mărfuri, prestarea serviciilor sau executarea lucrărilor;</w:t>
            </w:r>
          </w:p>
          <w:p w14:paraId="3D6E019D"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plata comisioanelor pentru prestarea serviciilor de creditare, deservirea contului;</w:t>
            </w:r>
          </w:p>
          <w:p w14:paraId="187A41F2" w14:textId="4040C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lastRenderedPageBreak/>
              <w:t>- alte operaţiuni.</w:t>
            </w:r>
          </w:p>
          <w:p w14:paraId="6F36B92C"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Contul 2259 este destinat pentru evidenţa mijloacelor băneşti depuse în numerar/transferate de către persoanele fizice, inclusiv pentru efectuarea operaţiunilor cu carduri de plată, la care se calculează dobândă în conformitate cu prevederile contractului.</w:t>
            </w:r>
          </w:p>
          <w:p w14:paraId="216ACC97"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În creditul contului se înregistrează:</w:t>
            </w:r>
          </w:p>
          <w:p w14:paraId="19377D39"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depunerile în numerar;</w:t>
            </w:r>
          </w:p>
          <w:p w14:paraId="00CBA850"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mijloace bănești încasate de la vânzarea valorilor mobiliare ale clientului din ordinul acestuia;</w:t>
            </w:r>
          </w:p>
          <w:p w14:paraId="2004A5CF"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creditele acordate;</w:t>
            </w:r>
          </w:p>
          <w:p w14:paraId="6D59B823"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alte operaţiuni.</w:t>
            </w:r>
          </w:p>
          <w:p w14:paraId="25F9F610"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xml:space="preserve">În debitul contului se înregistrează: </w:t>
            </w:r>
          </w:p>
          <w:p w14:paraId="01618FDE"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eliberarea numerarului titularului de cont;</w:t>
            </w:r>
          </w:p>
          <w:p w14:paraId="16D8F923"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achitarea dobânzilor calculate la creditele primite;</w:t>
            </w:r>
          </w:p>
          <w:p w14:paraId="1CDA841E" w14:textId="77777777"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rambursarea creditului primit;</w:t>
            </w:r>
          </w:p>
          <w:p w14:paraId="25F2B4D5" w14:textId="5D8E184B" w:rsidR="00D7515C" w:rsidRPr="009E4C4A" w:rsidRDefault="00D7515C" w:rsidP="00D7515C">
            <w:pPr>
              <w:autoSpaceDE w:val="0"/>
              <w:autoSpaceDN w:val="0"/>
              <w:adjustRightInd w:val="0"/>
              <w:rPr>
                <w:rFonts w:ascii="Times New Roman" w:hAnsi="Times New Roman" w:cs="Times New Roman"/>
                <w:bCs/>
                <w:iCs/>
                <w:lang w:val="ro-MD"/>
              </w:rPr>
            </w:pPr>
            <w:r w:rsidRPr="009E4C4A">
              <w:rPr>
                <w:rFonts w:ascii="Times New Roman" w:hAnsi="Times New Roman" w:cs="Times New Roman"/>
                <w:bCs/>
                <w:iCs/>
                <w:lang w:val="ro-MD"/>
              </w:rPr>
              <w:t>- alte operaţiuni.”.</w:t>
            </w:r>
          </w:p>
        </w:tc>
        <w:tc>
          <w:tcPr>
            <w:tcW w:w="3004" w:type="dxa"/>
          </w:tcPr>
          <w:p w14:paraId="7A932F6C" w14:textId="4C3C914D" w:rsidR="00D7515C" w:rsidRPr="009E4C4A" w:rsidRDefault="00D7515C" w:rsidP="00D7515C">
            <w:pPr>
              <w:pStyle w:val="Heading2"/>
              <w:jc w:val="both"/>
              <w:outlineLvl w:val="1"/>
              <w:rPr>
                <w:sz w:val="22"/>
                <w:szCs w:val="22"/>
                <w:lang w:val="ro-MD"/>
              </w:rPr>
            </w:pPr>
            <w:r w:rsidRPr="009E4C4A">
              <w:rPr>
                <w:sz w:val="22"/>
                <w:szCs w:val="22"/>
                <w:lang w:val="ro-MD"/>
              </w:rPr>
              <w:lastRenderedPageBreak/>
              <w:t>Nu se acceptă</w:t>
            </w:r>
          </w:p>
          <w:p w14:paraId="7771A277" w14:textId="546D4C83" w:rsidR="00D7515C" w:rsidRPr="009E4C4A" w:rsidRDefault="00D7515C" w:rsidP="00D7515C">
            <w:pPr>
              <w:rPr>
                <w:rFonts w:ascii="Times New Roman" w:hAnsi="Times New Roman" w:cs="Times New Roman"/>
                <w:lang w:val="ro-MD"/>
              </w:rPr>
            </w:pPr>
            <w:r w:rsidRPr="009E4C4A">
              <w:rPr>
                <w:rFonts w:ascii="Times New Roman" w:hAnsi="Times New Roman" w:cs="Times New Roman"/>
                <w:lang w:val="ro-MD"/>
              </w:rPr>
              <w:t>Planul de conturi conține detalierea operațiunilor propuse în descrierea conturilor „2224 Conturi curente ale persoanelor juridice” și</w:t>
            </w:r>
          </w:p>
          <w:p w14:paraId="46D87BFF" w14:textId="77777777" w:rsidR="00D7515C" w:rsidRPr="009E4C4A" w:rsidRDefault="00D7515C" w:rsidP="00D7515C">
            <w:pPr>
              <w:rPr>
                <w:rFonts w:ascii="Times New Roman" w:hAnsi="Times New Roman" w:cs="Times New Roman"/>
                <w:lang w:val="ro-MD"/>
              </w:rPr>
            </w:pPr>
            <w:r w:rsidRPr="009E4C4A">
              <w:rPr>
                <w:rFonts w:ascii="Times New Roman" w:hAnsi="Times New Roman" w:cs="Times New Roman"/>
                <w:lang w:val="ro-MD"/>
              </w:rPr>
              <w:t>„2225 Conturi curente ale persoanelor fizice”.</w:t>
            </w:r>
          </w:p>
          <w:p w14:paraId="6B1023D2" w14:textId="1F075C30" w:rsidR="00D7515C" w:rsidRPr="009E4C4A" w:rsidRDefault="00D7515C">
            <w:pPr>
              <w:rPr>
                <w:rFonts w:ascii="Times New Roman" w:hAnsi="Times New Roman" w:cs="Times New Roman"/>
                <w:lang w:val="ro-MD"/>
              </w:rPr>
            </w:pPr>
            <w:r w:rsidRPr="009E4C4A">
              <w:rPr>
                <w:rFonts w:ascii="Times New Roman" w:hAnsi="Times New Roman" w:cs="Times New Roman"/>
                <w:lang w:val="ro-MD"/>
              </w:rPr>
              <w:t xml:space="preserve">De asemenea, menționăm faptul că descrierea conturilor 2224 și 2225 permite atașarea cardurilor de plată </w:t>
            </w:r>
            <w:r w:rsidR="00072466">
              <w:rPr>
                <w:rFonts w:ascii="Times New Roman" w:hAnsi="Times New Roman" w:cs="Times New Roman"/>
                <w:lang w:val="ro-MD"/>
              </w:rPr>
              <w:t xml:space="preserve">pentru </w:t>
            </w:r>
            <w:r w:rsidRPr="009E4C4A">
              <w:rPr>
                <w:rFonts w:ascii="Times New Roman" w:hAnsi="Times New Roman" w:cs="Times New Roman"/>
                <w:lang w:val="ro-MD"/>
              </w:rPr>
              <w:t>efectuarea operațiunilor propuse.</w:t>
            </w:r>
          </w:p>
        </w:tc>
      </w:tr>
      <w:tr w:rsidR="00D7515C" w:rsidRPr="009E4C4A" w14:paraId="5A745C13" w14:textId="77777777" w:rsidTr="00C75C1D">
        <w:trPr>
          <w:gridAfter w:val="1"/>
          <w:wAfter w:w="9" w:type="dxa"/>
        </w:trPr>
        <w:tc>
          <w:tcPr>
            <w:tcW w:w="14743" w:type="dxa"/>
            <w:gridSpan w:val="5"/>
          </w:tcPr>
          <w:p w14:paraId="490DC4A7" w14:textId="77777777" w:rsidR="00D7515C" w:rsidRPr="009E4C4A" w:rsidRDefault="00D7515C" w:rsidP="00D7515C">
            <w:pPr>
              <w:jc w:val="center"/>
              <w:rPr>
                <w:rFonts w:ascii="Times New Roman" w:eastAsia="Times New Roman" w:hAnsi="Times New Roman" w:cs="Times New Roman"/>
                <w:b/>
                <w:lang w:val="ro-MD"/>
              </w:rPr>
            </w:pPr>
            <w:r w:rsidRPr="009E4C4A">
              <w:rPr>
                <w:rFonts w:ascii="Times New Roman" w:eastAsia="Times New Roman" w:hAnsi="Times New Roman" w:cs="Times New Roman"/>
                <w:b/>
                <w:lang w:val="ro-MD"/>
              </w:rPr>
              <w:lastRenderedPageBreak/>
              <w:t>II. Obiecții și propuneri la articolele/punctele din proiect</w:t>
            </w:r>
          </w:p>
          <w:p w14:paraId="303E2092" w14:textId="77777777" w:rsidR="00D7515C" w:rsidRPr="009E4C4A" w:rsidRDefault="00D7515C" w:rsidP="00D7515C">
            <w:pPr>
              <w:rPr>
                <w:rFonts w:ascii="Times New Roman" w:eastAsia="Times New Roman" w:hAnsi="Times New Roman" w:cs="Times New Roman"/>
                <w:b/>
                <w:lang w:val="ro-MD"/>
              </w:rPr>
            </w:pPr>
          </w:p>
        </w:tc>
      </w:tr>
      <w:tr w:rsidR="00F77EF6" w:rsidRPr="009E4C4A" w14:paraId="30C7BD76" w14:textId="77777777" w:rsidTr="004D7D3B">
        <w:trPr>
          <w:gridAfter w:val="1"/>
          <w:wAfter w:w="9" w:type="dxa"/>
        </w:trPr>
        <w:tc>
          <w:tcPr>
            <w:tcW w:w="5382" w:type="dxa"/>
            <w:vMerge w:val="restart"/>
          </w:tcPr>
          <w:p w14:paraId="6F80D6C3" w14:textId="77777777" w:rsidR="00F77EF6" w:rsidRPr="009E4C4A" w:rsidRDefault="00F77EF6" w:rsidP="00D7515C">
            <w:pPr>
              <w:rPr>
                <w:rFonts w:ascii="Times New Roman" w:eastAsia="Times New Roman" w:hAnsi="Times New Roman" w:cs="Times New Roman"/>
                <w:lang w:val="ro-MD"/>
              </w:rPr>
            </w:pPr>
            <w:r w:rsidRPr="009E4C4A">
              <w:rPr>
                <w:rFonts w:ascii="Times New Roman" w:eastAsia="Times New Roman" w:hAnsi="Times New Roman" w:cs="Times New Roman"/>
                <w:lang w:val="ro-MD"/>
              </w:rPr>
              <w:t>2) La capitolul II „Nomenclatorul conturilor contabile”:</w:t>
            </w:r>
          </w:p>
          <w:p w14:paraId="38C1BDE9" w14:textId="77777777" w:rsidR="00F77EF6" w:rsidRPr="009E4C4A" w:rsidRDefault="00F77EF6" w:rsidP="00D7515C">
            <w:pPr>
              <w:tabs>
                <w:tab w:val="left" w:pos="315"/>
              </w:tabs>
              <w:rPr>
                <w:rFonts w:ascii="Times New Roman" w:eastAsia="Times New Roman" w:hAnsi="Times New Roman" w:cs="Times New Roman"/>
                <w:lang w:val="ro-MD"/>
              </w:rPr>
            </w:pPr>
            <w:r w:rsidRPr="009E4C4A">
              <w:rPr>
                <w:rFonts w:ascii="Times New Roman" w:eastAsia="Times New Roman" w:hAnsi="Times New Roman" w:cs="Times New Roman"/>
                <w:lang w:val="ro-MD"/>
              </w:rPr>
              <w:t>a)</w:t>
            </w:r>
            <w:r w:rsidRPr="009E4C4A">
              <w:rPr>
                <w:rFonts w:ascii="Times New Roman" w:eastAsia="Times New Roman" w:hAnsi="Times New Roman" w:cs="Times New Roman"/>
                <w:lang w:val="ro-MD"/>
              </w:rPr>
              <w:tab/>
              <w:t>în grupa de conturi 1790 „Conturi de tranzit și suspendate”, după contul 1797 se completează cu un cont nou, cu următorul cuprins: „1799 Operațiuni prin sistemul de plăți instant”;</w:t>
            </w:r>
          </w:p>
          <w:p w14:paraId="2BECCD75" w14:textId="77777777" w:rsidR="00F77EF6" w:rsidRPr="00F77EF6" w:rsidRDefault="00F77EF6" w:rsidP="00F77EF6">
            <w:pPr>
              <w:rPr>
                <w:rFonts w:ascii="Times New Roman" w:eastAsia="Times New Roman" w:hAnsi="Times New Roman" w:cs="Times New Roman"/>
                <w:lang w:val="ro-MD"/>
              </w:rPr>
            </w:pPr>
            <w:r w:rsidRPr="00F77EF6">
              <w:rPr>
                <w:rFonts w:ascii="Times New Roman" w:eastAsia="Times New Roman" w:hAnsi="Times New Roman" w:cs="Times New Roman"/>
                <w:lang w:val="ro-MD"/>
              </w:rPr>
              <w:lastRenderedPageBreak/>
              <w:t>b)</w:t>
            </w:r>
            <w:r w:rsidRPr="00F77EF6">
              <w:rPr>
                <w:rFonts w:ascii="Times New Roman" w:eastAsia="Times New Roman" w:hAnsi="Times New Roman" w:cs="Times New Roman"/>
                <w:lang w:val="ro-MD"/>
              </w:rPr>
              <w:tab/>
              <w:t xml:space="preserve">în grupa de conturi 2220 „Depozite la vedere fără dobândă ale clienților”, după contul 2239 se completează cu următoarele conturi: </w:t>
            </w:r>
          </w:p>
          <w:p w14:paraId="3692C1DE" w14:textId="77777777" w:rsidR="00F77EF6" w:rsidRPr="00F77EF6" w:rsidRDefault="00F77EF6" w:rsidP="00F77EF6">
            <w:pPr>
              <w:rPr>
                <w:rFonts w:ascii="Times New Roman" w:eastAsia="Times New Roman" w:hAnsi="Times New Roman" w:cs="Times New Roman"/>
                <w:lang w:val="ro-MD"/>
              </w:rPr>
            </w:pPr>
            <w:r w:rsidRPr="00F77EF6">
              <w:rPr>
                <w:rFonts w:ascii="Times New Roman" w:eastAsia="Times New Roman" w:hAnsi="Times New Roman" w:cs="Times New Roman"/>
                <w:lang w:val="ro-MD"/>
              </w:rPr>
              <w:t>„2241 Conturi curente speciale ale clienților persoane juridice aferente tranzacțiilor privind activele virtuale</w:t>
            </w:r>
          </w:p>
          <w:p w14:paraId="1E4A5EF6" w14:textId="37243C9D" w:rsidR="00F77EF6" w:rsidRDefault="00F77EF6" w:rsidP="00F77EF6">
            <w:pPr>
              <w:rPr>
                <w:rFonts w:ascii="Times New Roman" w:eastAsia="Times New Roman" w:hAnsi="Times New Roman" w:cs="Times New Roman"/>
                <w:lang w:val="ro-MD"/>
              </w:rPr>
            </w:pPr>
            <w:r w:rsidRPr="00F77EF6">
              <w:rPr>
                <w:rFonts w:ascii="Times New Roman" w:eastAsia="Times New Roman" w:hAnsi="Times New Roman" w:cs="Times New Roman"/>
                <w:lang w:val="ro-MD"/>
              </w:rPr>
              <w:t>2242 Conturi curente speciale ale clienților persoane fizice aferente tranzacțiilor privind activele virtuale”;</w:t>
            </w:r>
          </w:p>
          <w:p w14:paraId="038B6ACA" w14:textId="599517C6" w:rsidR="00F77EF6" w:rsidRPr="009E4C4A" w:rsidRDefault="00F77EF6" w:rsidP="00F77EF6">
            <w:pPr>
              <w:rPr>
                <w:rFonts w:ascii="Times New Roman" w:eastAsia="Times New Roman" w:hAnsi="Times New Roman" w:cs="Times New Roman"/>
                <w:lang w:val="ro-MD"/>
              </w:rPr>
            </w:pPr>
            <w:r>
              <w:rPr>
                <w:rFonts w:ascii="Times New Roman" w:eastAsia="Times New Roman" w:hAnsi="Times New Roman" w:cs="Times New Roman"/>
                <w:lang w:val="ro-MD"/>
              </w:rPr>
              <w:t>...</w:t>
            </w:r>
          </w:p>
          <w:p w14:paraId="0F93EEE8" w14:textId="3B03DC2F" w:rsidR="00F77EF6" w:rsidRDefault="00F77EF6" w:rsidP="00D7515C">
            <w:pPr>
              <w:tabs>
                <w:tab w:val="left" w:pos="315"/>
              </w:tabs>
              <w:rPr>
                <w:rFonts w:ascii="Times New Roman" w:eastAsia="Times New Roman" w:hAnsi="Times New Roman" w:cs="Times New Roman"/>
                <w:lang w:val="ro-MD"/>
              </w:rPr>
            </w:pPr>
            <w:r w:rsidRPr="009E4C4A">
              <w:rPr>
                <w:rFonts w:ascii="Times New Roman" w:eastAsia="Times New Roman" w:hAnsi="Times New Roman" w:cs="Times New Roman"/>
                <w:lang w:val="ro-MD"/>
              </w:rPr>
              <w:t>d)</w:t>
            </w:r>
            <w:r w:rsidRPr="009E4C4A">
              <w:rPr>
                <w:rFonts w:ascii="Times New Roman" w:eastAsia="Times New Roman" w:hAnsi="Times New Roman" w:cs="Times New Roman"/>
                <w:lang w:val="ro-MD"/>
              </w:rPr>
              <w:tab/>
              <w:t>în grupa de conturi 2790 „Conturi de tranzit și suspendate”, după contul 2798 se completează cu un cont nou, cu următorul cuprins: „2799 Operațiuni prin sistemul de plăți instant”</w:t>
            </w:r>
            <w:r>
              <w:rPr>
                <w:rFonts w:ascii="Times New Roman" w:eastAsia="Times New Roman" w:hAnsi="Times New Roman" w:cs="Times New Roman"/>
                <w:lang w:val="ro-MD"/>
              </w:rPr>
              <w:t>;</w:t>
            </w:r>
          </w:p>
          <w:p w14:paraId="2A346C0B" w14:textId="076BE09D" w:rsidR="00F77EF6" w:rsidRPr="009E4C4A" w:rsidRDefault="00F77EF6" w:rsidP="00D7515C">
            <w:pPr>
              <w:tabs>
                <w:tab w:val="left" w:pos="315"/>
              </w:tabs>
              <w:rPr>
                <w:rFonts w:ascii="Times New Roman" w:eastAsia="Times New Roman" w:hAnsi="Times New Roman" w:cs="Times New Roman"/>
                <w:lang w:val="ro-MD"/>
              </w:rPr>
            </w:pPr>
            <w:r>
              <w:rPr>
                <w:rFonts w:ascii="Times New Roman" w:eastAsia="Times New Roman" w:hAnsi="Times New Roman" w:cs="Times New Roman"/>
                <w:lang w:val="ro-MD"/>
              </w:rPr>
              <w:t>...</w:t>
            </w:r>
          </w:p>
        </w:tc>
        <w:tc>
          <w:tcPr>
            <w:tcW w:w="2557" w:type="dxa"/>
          </w:tcPr>
          <w:p w14:paraId="3821B817" w14:textId="0EB31B5B" w:rsidR="00F77EF6" w:rsidRPr="009E4C4A" w:rsidRDefault="00F77EF6" w:rsidP="00D7515C">
            <w:pPr>
              <w:rPr>
                <w:rFonts w:ascii="Times New Roman" w:hAnsi="Times New Roman" w:cs="Times New Roman"/>
                <w:lang w:val="ro-MD"/>
              </w:rPr>
            </w:pPr>
            <w:r w:rsidRPr="009E4C4A">
              <w:rPr>
                <w:rFonts w:ascii="Times New Roman" w:hAnsi="Times New Roman" w:cs="Times New Roman"/>
                <w:bCs/>
                <w:lang w:val="ro-MD"/>
              </w:rPr>
              <w:lastRenderedPageBreak/>
              <w:t>BC „Victoriabank” S.A.</w:t>
            </w:r>
          </w:p>
        </w:tc>
        <w:tc>
          <w:tcPr>
            <w:tcW w:w="709" w:type="dxa"/>
          </w:tcPr>
          <w:p w14:paraId="00A018E2" w14:textId="585FDDDC" w:rsidR="00F77EF6" w:rsidRPr="009E4C4A" w:rsidRDefault="0093644A" w:rsidP="00D7515C">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8.</w:t>
            </w:r>
          </w:p>
        </w:tc>
        <w:tc>
          <w:tcPr>
            <w:tcW w:w="3091" w:type="dxa"/>
            <w:shd w:val="clear" w:color="auto" w:fill="auto"/>
          </w:tcPr>
          <w:p w14:paraId="4DB9BC40" w14:textId="2AEE3E69" w:rsidR="00F77EF6" w:rsidRPr="009E4C4A" w:rsidRDefault="00F77EF6" w:rsidP="00D7515C">
            <w:pPr>
              <w:pStyle w:val="Default"/>
              <w:rPr>
                <w:sz w:val="23"/>
                <w:szCs w:val="23"/>
              </w:rPr>
            </w:pPr>
            <w:r w:rsidRPr="009E4C4A">
              <w:rPr>
                <w:sz w:val="23"/>
                <w:szCs w:val="23"/>
              </w:rPr>
              <w:t>La p</w:t>
            </w:r>
            <w:r w:rsidR="00A22F3D">
              <w:rPr>
                <w:sz w:val="23"/>
                <w:szCs w:val="23"/>
              </w:rPr>
              <w:t>ct</w:t>
            </w:r>
            <w:r w:rsidRPr="009E4C4A">
              <w:rPr>
                <w:sz w:val="23"/>
                <w:szCs w:val="23"/>
              </w:rPr>
              <w:t xml:space="preserve">.2 lit. (a) și (d) din </w:t>
            </w:r>
            <w:r w:rsidR="00A22F3D">
              <w:rPr>
                <w:sz w:val="23"/>
                <w:szCs w:val="23"/>
              </w:rPr>
              <w:t>p</w:t>
            </w:r>
            <w:r w:rsidR="00A22F3D" w:rsidRPr="009E4C4A">
              <w:rPr>
                <w:sz w:val="23"/>
                <w:szCs w:val="23"/>
              </w:rPr>
              <w:t>roiect</w:t>
            </w:r>
            <w:r w:rsidRPr="009E4C4A">
              <w:rPr>
                <w:sz w:val="23"/>
                <w:szCs w:val="23"/>
              </w:rPr>
              <w:t xml:space="preserve">, nu susținem propunerea de completare a Planului de conturi cu conturi noi 1799 și 2799 destinate operațiunilor prin Sistemul de </w:t>
            </w:r>
            <w:r w:rsidRPr="009E4C4A">
              <w:rPr>
                <w:sz w:val="23"/>
                <w:szCs w:val="23"/>
              </w:rPr>
              <w:lastRenderedPageBreak/>
              <w:t>plăți instant, deoarece în conformitate cu descrierea conturilor din capitolul III „Norme metodologice de utilizare a conturilor contabile”, pot fi utilizate conturile existente „</w:t>
            </w:r>
            <w:r w:rsidRPr="009E4C4A">
              <w:rPr>
                <w:b/>
                <w:bCs/>
                <w:sz w:val="23"/>
                <w:szCs w:val="23"/>
              </w:rPr>
              <w:t>1791 Sume de tranzit şi clearing</w:t>
            </w:r>
            <w:r w:rsidRPr="009E4C4A">
              <w:rPr>
                <w:sz w:val="23"/>
                <w:szCs w:val="23"/>
              </w:rPr>
              <w:t xml:space="preserve">„ și </w:t>
            </w:r>
            <w:r w:rsidRPr="009E4C4A">
              <w:rPr>
                <w:b/>
                <w:bCs/>
                <w:sz w:val="23"/>
                <w:szCs w:val="23"/>
              </w:rPr>
              <w:t>„2791 Sume de tranzit şi clearing”</w:t>
            </w:r>
            <w:r w:rsidRPr="009E4C4A">
              <w:rPr>
                <w:sz w:val="23"/>
                <w:szCs w:val="23"/>
              </w:rPr>
              <w:t xml:space="preserve">. </w:t>
            </w:r>
          </w:p>
          <w:p w14:paraId="18E7575E" w14:textId="77777777" w:rsidR="00F77EF6" w:rsidRPr="009E4C4A" w:rsidRDefault="00F77EF6" w:rsidP="00D7515C">
            <w:pPr>
              <w:autoSpaceDE w:val="0"/>
              <w:autoSpaceDN w:val="0"/>
              <w:adjustRightInd w:val="0"/>
              <w:rPr>
                <w:rFonts w:ascii="Times New Roman" w:hAnsi="Times New Roman" w:cs="Times New Roman"/>
                <w:lang w:val="ro-MD"/>
              </w:rPr>
            </w:pPr>
          </w:p>
        </w:tc>
        <w:tc>
          <w:tcPr>
            <w:tcW w:w="3004" w:type="dxa"/>
            <w:shd w:val="clear" w:color="auto" w:fill="auto"/>
          </w:tcPr>
          <w:p w14:paraId="1C156619" w14:textId="0A67CE6E" w:rsidR="00F77EF6" w:rsidRPr="009E4C4A" w:rsidRDefault="00F77EF6" w:rsidP="00D7515C">
            <w:pPr>
              <w:rPr>
                <w:rFonts w:ascii="Times New Roman" w:eastAsia="Times New Roman" w:hAnsi="Times New Roman" w:cs="Times New Roman"/>
                <w:b/>
              </w:rPr>
            </w:pPr>
            <w:r w:rsidRPr="009E4C4A">
              <w:rPr>
                <w:rFonts w:ascii="Times New Roman" w:eastAsia="Times New Roman" w:hAnsi="Times New Roman" w:cs="Times New Roman"/>
                <w:b/>
                <w:lang w:val="ro-MD"/>
              </w:rPr>
              <w:lastRenderedPageBreak/>
              <w:t>Nu se acceptă</w:t>
            </w:r>
          </w:p>
          <w:p w14:paraId="7E0F6CA4" w14:textId="49128F5E" w:rsidR="00F77EF6" w:rsidRPr="009E4C4A" w:rsidRDefault="00F77EF6" w:rsidP="00D7515C">
            <w:pPr>
              <w:rPr>
                <w:rFonts w:ascii="Times New Roman" w:eastAsia="Times New Roman" w:hAnsi="Times New Roman" w:cs="Times New Roman"/>
                <w:bCs/>
              </w:rPr>
            </w:pPr>
            <w:r w:rsidRPr="009E4C4A">
              <w:rPr>
                <w:rFonts w:ascii="Times New Roman" w:eastAsia="Times New Roman" w:hAnsi="Times New Roman" w:cs="Times New Roman"/>
                <w:bCs/>
                <w:lang w:val="ro-MD"/>
              </w:rPr>
              <w:t>Luând în considerare esența și importanța serviciului implementat</w:t>
            </w:r>
            <w:r w:rsidR="00072466">
              <w:rPr>
                <w:rFonts w:ascii="Times New Roman" w:eastAsia="Times New Roman" w:hAnsi="Times New Roman" w:cs="Times New Roman"/>
                <w:bCs/>
                <w:lang w:val="ro-MD"/>
              </w:rPr>
              <w:t>,</w:t>
            </w:r>
            <w:r w:rsidRPr="009E4C4A">
              <w:rPr>
                <w:rFonts w:ascii="Times New Roman" w:eastAsia="Times New Roman" w:hAnsi="Times New Roman" w:cs="Times New Roman"/>
                <w:bCs/>
                <w:lang w:val="ro-MD"/>
              </w:rPr>
              <w:t xml:space="preserve"> considerăm oportun de a păstra evidența acestor operațiuni pe conturi </w:t>
            </w:r>
            <w:r w:rsidRPr="009E4C4A">
              <w:rPr>
                <w:rFonts w:ascii="Times New Roman" w:eastAsia="Times New Roman" w:hAnsi="Times New Roman" w:cs="Times New Roman"/>
                <w:bCs/>
                <w:lang w:val="ro-MD"/>
              </w:rPr>
              <w:lastRenderedPageBreak/>
              <w:t>distincte în scopul reflectării transparente a operațiunilor efectuate de către bancă.</w:t>
            </w:r>
          </w:p>
        </w:tc>
      </w:tr>
      <w:tr w:rsidR="005F14F9" w:rsidRPr="009E4C4A" w14:paraId="5C81D6F2" w14:textId="77777777" w:rsidTr="004D7D3B">
        <w:trPr>
          <w:gridAfter w:val="1"/>
          <w:wAfter w:w="9" w:type="dxa"/>
        </w:trPr>
        <w:tc>
          <w:tcPr>
            <w:tcW w:w="5382" w:type="dxa"/>
            <w:vMerge/>
          </w:tcPr>
          <w:p w14:paraId="10A54694" w14:textId="77777777" w:rsidR="005F14F9" w:rsidRPr="009E4C4A" w:rsidRDefault="005F14F9" w:rsidP="005F14F9">
            <w:pPr>
              <w:rPr>
                <w:rFonts w:ascii="Times New Roman" w:eastAsia="Times New Roman" w:hAnsi="Times New Roman" w:cs="Times New Roman"/>
                <w:lang w:val="ro-MD"/>
              </w:rPr>
            </w:pPr>
          </w:p>
        </w:tc>
        <w:tc>
          <w:tcPr>
            <w:tcW w:w="2557" w:type="dxa"/>
          </w:tcPr>
          <w:p w14:paraId="2F915550" w14:textId="3B46CA84" w:rsidR="005F14F9" w:rsidRPr="009E4C4A" w:rsidRDefault="005F14F9" w:rsidP="005F14F9">
            <w:pPr>
              <w:rPr>
                <w:rFonts w:ascii="Times New Roman" w:hAnsi="Times New Roman" w:cs="Times New Roman"/>
                <w:bCs/>
                <w:lang w:val="ro-MD"/>
              </w:rPr>
            </w:pPr>
            <w:r w:rsidRPr="009E4C4A">
              <w:rPr>
                <w:rFonts w:ascii="Times New Roman" w:hAnsi="Times New Roman" w:cs="Times New Roman"/>
                <w:lang w:val="ro-MD"/>
              </w:rPr>
              <w:t>Ministerul Justiției al Republicii Moldova</w:t>
            </w:r>
          </w:p>
        </w:tc>
        <w:tc>
          <w:tcPr>
            <w:tcW w:w="709" w:type="dxa"/>
          </w:tcPr>
          <w:p w14:paraId="7582A4B8" w14:textId="1AA16940" w:rsidR="005F14F9" w:rsidRPr="009E4C4A" w:rsidRDefault="0093644A" w:rsidP="005F14F9">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9.</w:t>
            </w:r>
          </w:p>
        </w:tc>
        <w:tc>
          <w:tcPr>
            <w:tcW w:w="3091" w:type="dxa"/>
            <w:shd w:val="clear" w:color="auto" w:fill="auto"/>
          </w:tcPr>
          <w:p w14:paraId="2FF60BB3" w14:textId="68916D6E" w:rsidR="005F14F9" w:rsidRPr="009E4C4A" w:rsidRDefault="005F14F9" w:rsidP="005F14F9">
            <w:pPr>
              <w:pStyle w:val="Default"/>
              <w:rPr>
                <w:sz w:val="23"/>
                <w:szCs w:val="23"/>
              </w:rPr>
            </w:pPr>
            <w:r w:rsidRPr="00F77EF6">
              <w:rPr>
                <w:sz w:val="23"/>
                <w:szCs w:val="23"/>
              </w:rPr>
              <w:t>La s</w:t>
            </w:r>
            <w:r w:rsidR="00A22F3D">
              <w:rPr>
                <w:sz w:val="23"/>
                <w:szCs w:val="23"/>
              </w:rPr>
              <w:t>u</w:t>
            </w:r>
            <w:r w:rsidRPr="00F77EF6">
              <w:rPr>
                <w:sz w:val="23"/>
                <w:szCs w:val="23"/>
              </w:rPr>
              <w:t>bp</w:t>
            </w:r>
            <w:r w:rsidR="00A22F3D">
              <w:rPr>
                <w:sz w:val="23"/>
                <w:szCs w:val="23"/>
              </w:rPr>
              <w:t>ct</w:t>
            </w:r>
            <w:r w:rsidRPr="00F77EF6">
              <w:rPr>
                <w:sz w:val="23"/>
                <w:szCs w:val="23"/>
              </w:rPr>
              <w:t>. 2) lit. b), propunerea urmează a fi completată cu cuvintele „cu următorul cuprins”, potrivit normelor de tehnică legislativă (obiecție valabilă și pentru alte cazuri similare a</w:t>
            </w:r>
            <w:r w:rsidR="003222A9">
              <w:rPr>
                <w:sz w:val="23"/>
                <w:szCs w:val="23"/>
              </w:rPr>
              <w:t>le</w:t>
            </w:r>
            <w:r w:rsidRPr="00F77EF6">
              <w:rPr>
                <w:sz w:val="23"/>
                <w:szCs w:val="23"/>
              </w:rPr>
              <w:t xml:space="preserve"> proiectului).</w:t>
            </w:r>
          </w:p>
        </w:tc>
        <w:tc>
          <w:tcPr>
            <w:tcW w:w="3004" w:type="dxa"/>
            <w:shd w:val="clear" w:color="auto" w:fill="auto"/>
          </w:tcPr>
          <w:p w14:paraId="0D2B9863" w14:textId="262BBAD9" w:rsidR="005F14F9" w:rsidRPr="009E4C4A" w:rsidRDefault="00F65EE3">
            <w:pPr>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5F14F9" w:rsidRPr="009E4C4A" w14:paraId="0C374A3A" w14:textId="77777777" w:rsidTr="004D7D3B">
        <w:trPr>
          <w:gridAfter w:val="1"/>
          <w:wAfter w:w="9" w:type="dxa"/>
        </w:trPr>
        <w:tc>
          <w:tcPr>
            <w:tcW w:w="5382" w:type="dxa"/>
          </w:tcPr>
          <w:p w14:paraId="249308AE"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3) La capitolul III „Norme metodologice de utilizare a conturilor contabile”:</w:t>
            </w:r>
          </w:p>
          <w:p w14:paraId="5B379E54" w14:textId="4F93BEFA"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w:t>
            </w:r>
          </w:p>
          <w:p w14:paraId="5C363BD6" w14:textId="77777777" w:rsidR="005F14F9" w:rsidRPr="009E4C4A" w:rsidRDefault="005F14F9" w:rsidP="005F14F9">
            <w:pPr>
              <w:tabs>
                <w:tab w:val="left" w:pos="315"/>
              </w:tabs>
              <w:rPr>
                <w:rFonts w:ascii="Times New Roman" w:eastAsia="Times New Roman" w:hAnsi="Times New Roman" w:cs="Times New Roman"/>
                <w:lang w:val="ro-MD"/>
              </w:rPr>
            </w:pPr>
            <w:r w:rsidRPr="009E4C4A">
              <w:rPr>
                <w:rFonts w:ascii="Times New Roman" w:eastAsia="Times New Roman" w:hAnsi="Times New Roman" w:cs="Times New Roman"/>
                <w:lang w:val="ro-MD"/>
              </w:rPr>
              <w:t>b)</w:t>
            </w:r>
            <w:r w:rsidRPr="009E4C4A">
              <w:rPr>
                <w:rFonts w:ascii="Times New Roman" w:eastAsia="Times New Roman" w:hAnsi="Times New Roman" w:cs="Times New Roman"/>
                <w:lang w:val="ro-MD"/>
              </w:rPr>
              <w:tab/>
              <w:t>în grupa de conturi 1790 „Conturi de tranzit și suspendate”, după contul 1797 se completează cu un cont nou, cu următorul cuprins: „1799 Operațiuni prin sistemul de plăți instant”, după descrierea contului 1797 se completează cu descrierea contului 1799, cu următorul cuprins:</w:t>
            </w:r>
          </w:p>
          <w:p w14:paraId="27A26F7D"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„Contul 1799 este destinat pentru evidenţa creanţelor băncii aferente operaţiunilor prin sistemul de plăți instant.</w:t>
            </w:r>
          </w:p>
          <w:p w14:paraId="1D9BD3B9"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În debitul contului se înregistrează sumele creanţelor băncii aferente operaţiunilor prin sistemul de plăți instant.</w:t>
            </w:r>
          </w:p>
          <w:p w14:paraId="7E16145B"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În creditul contului se înregistrează achitarea/derecunoaşterea creanţelor aferente operaţiunilor prin sistemul de plăți instant.</w:t>
            </w:r>
          </w:p>
          <w:p w14:paraId="44908332" w14:textId="3017D115"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lastRenderedPageBreak/>
              <w:t>Soldul contului este debitor şi reprezintă suma creanţelor aferente operaţiunilor prin sistemul de plăți instant.”;</w:t>
            </w:r>
          </w:p>
          <w:p w14:paraId="684EE1F4" w14:textId="786CE79B" w:rsidR="005F14F9" w:rsidRPr="009E4C4A" w:rsidRDefault="005F14F9" w:rsidP="005F14F9">
            <w:pPr>
              <w:rPr>
                <w:rFonts w:ascii="Times New Roman" w:eastAsia="Times New Roman" w:hAnsi="Times New Roman" w:cs="Times New Roman"/>
                <w:lang w:val="ro-MD"/>
              </w:rPr>
            </w:pPr>
          </w:p>
        </w:tc>
        <w:tc>
          <w:tcPr>
            <w:tcW w:w="2557" w:type="dxa"/>
          </w:tcPr>
          <w:p w14:paraId="353F4E12" w14:textId="225B90F6" w:rsidR="005F14F9" w:rsidRPr="009E4C4A" w:rsidRDefault="005F14F9" w:rsidP="005F14F9">
            <w:pPr>
              <w:rPr>
                <w:rFonts w:ascii="Times New Roman" w:hAnsi="Times New Roman" w:cs="Times New Roman"/>
                <w:bCs/>
                <w:lang w:val="ro-MD"/>
              </w:rPr>
            </w:pPr>
            <w:r w:rsidRPr="009E4C4A">
              <w:rPr>
                <w:rFonts w:ascii="Times New Roman" w:hAnsi="Times New Roman" w:cs="Times New Roman"/>
                <w:bCs/>
                <w:lang w:val="ro-MD"/>
              </w:rPr>
              <w:lastRenderedPageBreak/>
              <w:t>BC „Moldindconbank” S.A.</w:t>
            </w:r>
          </w:p>
        </w:tc>
        <w:tc>
          <w:tcPr>
            <w:tcW w:w="709" w:type="dxa"/>
          </w:tcPr>
          <w:p w14:paraId="58A2C8C0" w14:textId="5FA93D3E" w:rsidR="005F14F9" w:rsidRPr="009E4C4A" w:rsidRDefault="005F14F9" w:rsidP="0045048A">
            <w:pPr>
              <w:pStyle w:val="ListParagraph"/>
              <w:ind w:left="37"/>
              <w:rPr>
                <w:rFonts w:ascii="Times New Roman" w:eastAsia="Times New Roman" w:hAnsi="Times New Roman" w:cs="Times New Roman"/>
                <w:lang w:val="ro-MD"/>
              </w:rPr>
            </w:pPr>
            <w:r w:rsidRPr="009E4C4A">
              <w:rPr>
                <w:rFonts w:ascii="Times New Roman" w:eastAsia="Times New Roman" w:hAnsi="Times New Roman" w:cs="Times New Roman"/>
                <w:lang w:val="ro-MD"/>
              </w:rPr>
              <w:t>1</w:t>
            </w:r>
            <w:r w:rsidR="0093644A">
              <w:rPr>
                <w:rFonts w:ascii="Times New Roman" w:eastAsia="Times New Roman" w:hAnsi="Times New Roman" w:cs="Times New Roman"/>
                <w:lang w:val="ro-MD"/>
              </w:rPr>
              <w:t>0</w:t>
            </w:r>
            <w:r w:rsidRPr="009E4C4A">
              <w:rPr>
                <w:rFonts w:ascii="Times New Roman" w:eastAsia="Times New Roman" w:hAnsi="Times New Roman" w:cs="Times New Roman"/>
                <w:lang w:val="ro-MD"/>
              </w:rPr>
              <w:t>.</w:t>
            </w:r>
          </w:p>
        </w:tc>
        <w:tc>
          <w:tcPr>
            <w:tcW w:w="3091" w:type="dxa"/>
            <w:shd w:val="clear" w:color="auto" w:fill="auto"/>
          </w:tcPr>
          <w:p w14:paraId="2D5C409A" w14:textId="6627BDB8" w:rsidR="005F14F9" w:rsidRPr="009E4C4A" w:rsidRDefault="005F14F9" w:rsidP="0045048A">
            <w:pPr>
              <w:pStyle w:val="Default"/>
              <w:rPr>
                <w:sz w:val="23"/>
                <w:szCs w:val="23"/>
              </w:rPr>
            </w:pPr>
            <w:r w:rsidRPr="009E4C4A">
              <w:rPr>
                <w:sz w:val="23"/>
                <w:szCs w:val="23"/>
              </w:rPr>
              <w:t>Pentru claritate se propune următoare</w:t>
            </w:r>
            <w:r w:rsidR="003222A9">
              <w:rPr>
                <w:sz w:val="23"/>
                <w:szCs w:val="23"/>
              </w:rPr>
              <w:t>a</w:t>
            </w:r>
            <w:r w:rsidRPr="009E4C4A">
              <w:rPr>
                <w:sz w:val="23"/>
                <w:szCs w:val="23"/>
              </w:rPr>
              <w:t xml:space="preserve"> redacție:</w:t>
            </w:r>
          </w:p>
          <w:p w14:paraId="16DEE048" w14:textId="77777777" w:rsidR="005F14F9" w:rsidRPr="009E4C4A" w:rsidRDefault="005F14F9" w:rsidP="0045048A">
            <w:pPr>
              <w:pStyle w:val="Default"/>
              <w:rPr>
                <w:sz w:val="23"/>
                <w:szCs w:val="23"/>
              </w:rPr>
            </w:pPr>
            <w:r w:rsidRPr="009E4C4A">
              <w:rPr>
                <w:sz w:val="23"/>
                <w:szCs w:val="23"/>
              </w:rPr>
              <w:t xml:space="preserve">„Contul 1799 este destinat pentru evidenţa creanţelor băncii aferente operaţiunilor </w:t>
            </w:r>
            <w:r w:rsidRPr="009E4C4A">
              <w:rPr>
                <w:b/>
                <w:bCs/>
                <w:i/>
                <w:iCs/>
                <w:sz w:val="23"/>
                <w:szCs w:val="23"/>
              </w:rPr>
              <w:t>executate</w:t>
            </w:r>
            <w:r w:rsidRPr="009E4C4A">
              <w:rPr>
                <w:b/>
                <w:bCs/>
                <w:sz w:val="23"/>
                <w:szCs w:val="23"/>
              </w:rPr>
              <w:t xml:space="preserve"> </w:t>
            </w:r>
            <w:r w:rsidRPr="009E4C4A">
              <w:rPr>
                <w:sz w:val="23"/>
                <w:szCs w:val="23"/>
              </w:rPr>
              <w:t>prin sistemul de plăți instant.</w:t>
            </w:r>
          </w:p>
          <w:p w14:paraId="7F4EF0A9" w14:textId="77777777" w:rsidR="005F14F9" w:rsidRPr="009E4C4A" w:rsidRDefault="005F14F9" w:rsidP="0045048A">
            <w:pPr>
              <w:pStyle w:val="Default"/>
              <w:rPr>
                <w:sz w:val="23"/>
                <w:szCs w:val="23"/>
              </w:rPr>
            </w:pPr>
            <w:r w:rsidRPr="009E4C4A">
              <w:rPr>
                <w:sz w:val="23"/>
                <w:szCs w:val="23"/>
              </w:rPr>
              <w:t xml:space="preserve">În debitul contului se înregistrează sumele creanţelor băncii aferente operaţiunilor </w:t>
            </w:r>
            <w:r w:rsidRPr="009E4C4A">
              <w:rPr>
                <w:b/>
                <w:bCs/>
                <w:i/>
                <w:iCs/>
                <w:sz w:val="23"/>
                <w:szCs w:val="23"/>
              </w:rPr>
              <w:t>executate</w:t>
            </w:r>
            <w:r w:rsidRPr="009E4C4A">
              <w:rPr>
                <w:b/>
                <w:bCs/>
                <w:sz w:val="23"/>
                <w:szCs w:val="23"/>
              </w:rPr>
              <w:t xml:space="preserve"> </w:t>
            </w:r>
            <w:r w:rsidRPr="009E4C4A">
              <w:rPr>
                <w:sz w:val="23"/>
                <w:szCs w:val="23"/>
              </w:rPr>
              <w:t>prin sistemul de plăți instant.</w:t>
            </w:r>
          </w:p>
          <w:p w14:paraId="127380AE" w14:textId="77777777" w:rsidR="005F14F9" w:rsidRPr="009E4C4A" w:rsidRDefault="005F14F9" w:rsidP="0045048A">
            <w:pPr>
              <w:pStyle w:val="Default"/>
              <w:rPr>
                <w:sz w:val="23"/>
                <w:szCs w:val="23"/>
              </w:rPr>
            </w:pPr>
            <w:r w:rsidRPr="009E4C4A">
              <w:rPr>
                <w:sz w:val="23"/>
                <w:szCs w:val="23"/>
              </w:rPr>
              <w:t xml:space="preserve">În creditul contului se înregistrează achitarea/ derecunoaşterea creanţelor aferente operaţiunilor  </w:t>
            </w:r>
            <w:r w:rsidRPr="009E4C4A">
              <w:rPr>
                <w:b/>
                <w:bCs/>
                <w:i/>
                <w:iCs/>
                <w:sz w:val="23"/>
                <w:szCs w:val="23"/>
              </w:rPr>
              <w:lastRenderedPageBreak/>
              <w:t>executate</w:t>
            </w:r>
            <w:r w:rsidRPr="009E4C4A">
              <w:rPr>
                <w:b/>
                <w:bCs/>
                <w:sz w:val="23"/>
                <w:szCs w:val="23"/>
              </w:rPr>
              <w:t xml:space="preserve"> </w:t>
            </w:r>
            <w:r w:rsidRPr="009E4C4A">
              <w:rPr>
                <w:sz w:val="23"/>
                <w:szCs w:val="23"/>
              </w:rPr>
              <w:t>prin sistemul de plăți instant.</w:t>
            </w:r>
          </w:p>
          <w:p w14:paraId="77FC6123" w14:textId="741C3B4B" w:rsidR="005F14F9" w:rsidRPr="009E4C4A" w:rsidRDefault="005F14F9" w:rsidP="0045048A">
            <w:pPr>
              <w:pStyle w:val="Default"/>
              <w:rPr>
                <w:sz w:val="23"/>
                <w:szCs w:val="23"/>
              </w:rPr>
            </w:pPr>
            <w:r w:rsidRPr="009E4C4A">
              <w:rPr>
                <w:sz w:val="23"/>
                <w:szCs w:val="23"/>
              </w:rPr>
              <w:t xml:space="preserve">Soldul contului este debitor şi reprezintă suma creanţelor aferente operaţiunilor </w:t>
            </w:r>
            <w:r w:rsidRPr="009E4C4A">
              <w:rPr>
                <w:b/>
                <w:bCs/>
                <w:i/>
                <w:iCs/>
                <w:sz w:val="23"/>
                <w:szCs w:val="23"/>
              </w:rPr>
              <w:t>executate</w:t>
            </w:r>
            <w:r w:rsidRPr="009E4C4A">
              <w:rPr>
                <w:sz w:val="23"/>
                <w:szCs w:val="23"/>
              </w:rPr>
              <w:t xml:space="preserve"> prin sistemul de plăți instant.</w:t>
            </w:r>
          </w:p>
        </w:tc>
        <w:tc>
          <w:tcPr>
            <w:tcW w:w="3004" w:type="dxa"/>
            <w:shd w:val="clear" w:color="auto" w:fill="auto"/>
          </w:tcPr>
          <w:p w14:paraId="4C4A7A29" w14:textId="0164BC6A" w:rsidR="0045048A" w:rsidRPr="0045048A" w:rsidRDefault="0045048A" w:rsidP="0045048A">
            <w:pPr>
              <w:rPr>
                <w:rFonts w:ascii="Times New Roman" w:eastAsia="Times New Roman" w:hAnsi="Times New Roman" w:cs="Times New Roman"/>
                <w:b/>
                <w:lang w:val="ro-MD"/>
              </w:rPr>
            </w:pPr>
            <w:r w:rsidRPr="0045048A">
              <w:rPr>
                <w:rFonts w:ascii="Times New Roman" w:eastAsia="Times New Roman" w:hAnsi="Times New Roman" w:cs="Times New Roman"/>
                <w:b/>
                <w:lang w:val="ro-MD"/>
              </w:rPr>
              <w:lastRenderedPageBreak/>
              <w:t>Comentariu</w:t>
            </w:r>
            <w:r>
              <w:rPr>
                <w:rFonts w:ascii="Times New Roman" w:eastAsia="Times New Roman" w:hAnsi="Times New Roman" w:cs="Times New Roman"/>
                <w:b/>
                <w:lang w:val="ro-MD"/>
              </w:rPr>
              <w:t>:</w:t>
            </w:r>
          </w:p>
          <w:p w14:paraId="2827716E" w14:textId="622A23EC" w:rsidR="005F14F9" w:rsidRPr="009E4C4A" w:rsidRDefault="0045048A" w:rsidP="0045048A">
            <w:pPr>
              <w:rPr>
                <w:rFonts w:ascii="Times New Roman" w:eastAsia="Times New Roman" w:hAnsi="Times New Roman" w:cs="Times New Roman"/>
                <w:b/>
                <w:lang w:val="ro-MD"/>
              </w:rPr>
            </w:pPr>
            <w:r w:rsidRPr="0045048A">
              <w:rPr>
                <w:rFonts w:ascii="Times New Roman" w:eastAsia="Times New Roman" w:hAnsi="Times New Roman" w:cs="Times New Roman"/>
                <w:bCs/>
                <w:lang w:val="ro-MD"/>
              </w:rPr>
              <w:t>Se va utiliza noțiunea conform actelor normative ale BNM.</w:t>
            </w:r>
          </w:p>
        </w:tc>
      </w:tr>
      <w:tr w:rsidR="005F14F9" w:rsidRPr="009E4C4A" w14:paraId="4EE6E16B" w14:textId="77777777" w:rsidTr="004D7D3B">
        <w:trPr>
          <w:gridAfter w:val="1"/>
          <w:wAfter w:w="9" w:type="dxa"/>
        </w:trPr>
        <w:tc>
          <w:tcPr>
            <w:tcW w:w="5382" w:type="dxa"/>
          </w:tcPr>
          <w:p w14:paraId="1C0C7FB0" w14:textId="373FC92E" w:rsidR="005F14F9" w:rsidRPr="00A862B6" w:rsidRDefault="005F14F9" w:rsidP="00A862B6">
            <w:pPr>
              <w:pStyle w:val="ListParagraph"/>
              <w:numPr>
                <w:ilvl w:val="0"/>
                <w:numId w:val="39"/>
              </w:numPr>
              <w:tabs>
                <w:tab w:val="left" w:pos="318"/>
              </w:tabs>
              <w:ind w:left="0" w:firstLine="34"/>
              <w:rPr>
                <w:rFonts w:ascii="Times New Roman" w:eastAsia="Times New Roman" w:hAnsi="Times New Roman" w:cs="Times New Roman"/>
                <w:lang w:val="ro-MD"/>
              </w:rPr>
            </w:pPr>
            <w:r w:rsidRPr="00A862B6">
              <w:rPr>
                <w:rFonts w:ascii="Times New Roman" w:eastAsia="Times New Roman" w:hAnsi="Times New Roman" w:cs="Times New Roman"/>
                <w:lang w:val="ro-MD"/>
              </w:rPr>
              <w:t>în descrierea grupei 2210 „Depozite pe termen ale Companiei Naţionale de Asigurări în Medicină/ Casei Naţionale de Asigurări Sociale” a doua propoziție se exclude;</w:t>
            </w:r>
          </w:p>
          <w:p w14:paraId="2BBBDABB" w14:textId="77777777" w:rsidR="005F14F9" w:rsidRDefault="005F14F9" w:rsidP="005F14F9">
            <w:pPr>
              <w:pStyle w:val="ListParagraph"/>
              <w:tabs>
                <w:tab w:val="left" w:pos="318"/>
              </w:tabs>
              <w:ind w:left="0"/>
              <w:rPr>
                <w:rFonts w:ascii="Times New Roman" w:eastAsia="Times New Roman" w:hAnsi="Times New Roman" w:cs="Times New Roman"/>
                <w:lang w:val="ro-MD"/>
              </w:rPr>
            </w:pPr>
            <w:r>
              <w:rPr>
                <w:rFonts w:ascii="Times New Roman" w:eastAsia="Times New Roman" w:hAnsi="Times New Roman" w:cs="Times New Roman"/>
                <w:lang w:val="ro-MD"/>
              </w:rPr>
              <w:t>.....</w:t>
            </w:r>
          </w:p>
          <w:p w14:paraId="1A711255" w14:textId="621A19FC" w:rsidR="005F14F9" w:rsidRPr="00540462" w:rsidRDefault="005F14F9" w:rsidP="005F14F9">
            <w:pPr>
              <w:pStyle w:val="ListParagraph"/>
              <w:tabs>
                <w:tab w:val="left" w:pos="318"/>
              </w:tabs>
              <w:ind w:left="0"/>
              <w:rPr>
                <w:rFonts w:ascii="Times New Roman" w:eastAsia="Times New Roman" w:hAnsi="Times New Roman" w:cs="Times New Roman"/>
                <w:lang w:val="ro-MD"/>
              </w:rPr>
            </w:pPr>
            <w:r>
              <w:rPr>
                <w:rFonts w:ascii="Times New Roman" w:eastAsia="Times New Roman" w:hAnsi="Times New Roman" w:cs="Times New Roman"/>
                <w:lang w:val="ro-MD"/>
              </w:rPr>
              <w:t>g</w:t>
            </w:r>
            <w:r w:rsidRPr="00540462">
              <w:rPr>
                <w:rFonts w:ascii="Times New Roman" w:eastAsia="Times New Roman" w:hAnsi="Times New Roman" w:cs="Times New Roman"/>
                <w:lang w:val="ro-MD"/>
              </w:rPr>
              <w:t>)</w:t>
            </w:r>
            <w:r w:rsidRPr="00540462">
              <w:rPr>
                <w:rFonts w:ascii="Times New Roman" w:eastAsia="Times New Roman" w:hAnsi="Times New Roman" w:cs="Times New Roman"/>
                <w:lang w:val="ro-MD"/>
              </w:rPr>
              <w:tab/>
              <w:t>în grupa de conturi 2250 „Depozite la vedere cu dobândă ale clienţilor”:</w:t>
            </w:r>
          </w:p>
          <w:p w14:paraId="2ED20B1A" w14:textId="7ED910AE" w:rsidR="005F14F9" w:rsidRPr="00A862B6" w:rsidRDefault="005F14F9" w:rsidP="00A862B6">
            <w:pPr>
              <w:pStyle w:val="ListParagraph"/>
              <w:tabs>
                <w:tab w:val="left" w:pos="318"/>
              </w:tabs>
              <w:ind w:left="0"/>
              <w:rPr>
                <w:rFonts w:ascii="Times New Roman" w:eastAsia="Times New Roman" w:hAnsi="Times New Roman" w:cs="Times New Roman"/>
                <w:lang w:val="ro-MD"/>
              </w:rPr>
            </w:pPr>
            <w:r w:rsidRPr="00540462">
              <w:rPr>
                <w:rFonts w:ascii="Times New Roman" w:eastAsia="Times New Roman" w:hAnsi="Times New Roman" w:cs="Times New Roman"/>
                <w:lang w:val="ro-MD"/>
              </w:rPr>
              <w:t>în descrierea conturilor 2263 „Mijloacele bugetului de stat” și 2266 „Mijloacele bugetelor locale” a doua propoziție se exclude;</w:t>
            </w:r>
          </w:p>
        </w:tc>
        <w:tc>
          <w:tcPr>
            <w:tcW w:w="2557" w:type="dxa"/>
          </w:tcPr>
          <w:p w14:paraId="4B00A555" w14:textId="6BF5F090" w:rsidR="005F14F9" w:rsidRPr="009E4C4A" w:rsidRDefault="005F14F9" w:rsidP="005F14F9">
            <w:pPr>
              <w:rPr>
                <w:rFonts w:ascii="Times New Roman" w:hAnsi="Times New Roman" w:cs="Times New Roman"/>
                <w:bCs/>
                <w:lang w:val="ro-MD"/>
              </w:rPr>
            </w:pPr>
            <w:r w:rsidRPr="009E4C4A">
              <w:rPr>
                <w:rFonts w:ascii="Times New Roman" w:hAnsi="Times New Roman" w:cs="Times New Roman"/>
                <w:lang w:val="ro-MD"/>
              </w:rPr>
              <w:t>Ministerul Finanțelor al Republicii Moldova</w:t>
            </w:r>
          </w:p>
        </w:tc>
        <w:tc>
          <w:tcPr>
            <w:tcW w:w="709" w:type="dxa"/>
          </w:tcPr>
          <w:p w14:paraId="72D39341" w14:textId="7C3E971E" w:rsidR="005F14F9" w:rsidRPr="009E4C4A" w:rsidRDefault="0093644A" w:rsidP="0045048A">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11.</w:t>
            </w:r>
          </w:p>
        </w:tc>
        <w:tc>
          <w:tcPr>
            <w:tcW w:w="3091" w:type="dxa"/>
            <w:shd w:val="clear" w:color="auto" w:fill="auto"/>
          </w:tcPr>
          <w:p w14:paraId="754F5368" w14:textId="32BB1FA5" w:rsidR="005F14F9" w:rsidRPr="00540462" w:rsidRDefault="005F14F9" w:rsidP="0045048A">
            <w:pPr>
              <w:pStyle w:val="Default"/>
              <w:rPr>
                <w:sz w:val="23"/>
                <w:szCs w:val="23"/>
              </w:rPr>
            </w:pPr>
            <w:r w:rsidRPr="00540462">
              <w:rPr>
                <w:sz w:val="23"/>
                <w:szCs w:val="23"/>
              </w:rPr>
              <w:t>Cu referire la pct.1 subpct. 3) lit. c) și lit. g), menționăm că, Compania Naţională de Asigurări în Medicină și Casa Naţională de Asigurări Sociale reprezintă autoritățile administrative centrale ale Guvernului care administrează fondurile asigurării obligatorii de asistență medicală și</w:t>
            </w:r>
            <w:r w:rsidR="003222A9">
              <w:rPr>
                <w:sz w:val="23"/>
                <w:szCs w:val="23"/>
              </w:rPr>
              <w:t>,</w:t>
            </w:r>
            <w:r w:rsidRPr="00540462">
              <w:rPr>
                <w:sz w:val="23"/>
                <w:szCs w:val="23"/>
              </w:rPr>
              <w:t xml:space="preserve"> corespunzător</w:t>
            </w:r>
            <w:r w:rsidR="003222A9">
              <w:rPr>
                <w:sz w:val="23"/>
                <w:szCs w:val="23"/>
              </w:rPr>
              <w:t>,</w:t>
            </w:r>
            <w:r w:rsidRPr="00540462">
              <w:rPr>
                <w:sz w:val="23"/>
                <w:szCs w:val="23"/>
              </w:rPr>
              <w:t xml:space="preserve"> bugetul asigurărilor sociale de stat, care reprezintă componente ale bugetului public național, în conformitate cu principiile, regulile şi procedurile prevăzute de Legea </w:t>
            </w:r>
            <w:r w:rsidR="00A707CC" w:rsidRPr="00540462">
              <w:rPr>
                <w:sz w:val="23"/>
                <w:szCs w:val="23"/>
              </w:rPr>
              <w:t xml:space="preserve">nr.181/2014 </w:t>
            </w:r>
            <w:r w:rsidRPr="00540462">
              <w:rPr>
                <w:sz w:val="23"/>
                <w:szCs w:val="23"/>
              </w:rPr>
              <w:t>finanțelor publice şi responsabilității bugetar-fiscale (art.16 alin. (12) al Legii nr. 1585/1998 cu privire la asigurarea obligatorie de asistență medicală și art.10 alin. (2) al Legii nr. 489/1999 privind sistemul public de asigurări sociale).</w:t>
            </w:r>
          </w:p>
          <w:p w14:paraId="7F3FBD0E" w14:textId="77777777" w:rsidR="005F14F9" w:rsidRPr="00540462" w:rsidRDefault="005F14F9" w:rsidP="0045048A">
            <w:pPr>
              <w:pStyle w:val="Default"/>
              <w:rPr>
                <w:sz w:val="23"/>
                <w:szCs w:val="23"/>
              </w:rPr>
            </w:pPr>
            <w:r w:rsidRPr="00540462">
              <w:rPr>
                <w:sz w:val="23"/>
                <w:szCs w:val="23"/>
              </w:rPr>
              <w:lastRenderedPageBreak/>
              <w:t>Astfel, conform art. 62 alin (4) al Legii nr. 181/2014, soldul mijloacelor bănești temporar libere, gestionate prin contul unic trezorerial, poate fi plasat sub formă de depozite la Banca Națională a Moldovei şi în valori mobiliare de stat.</w:t>
            </w:r>
          </w:p>
          <w:p w14:paraId="4B44C117" w14:textId="77777777" w:rsidR="005F14F9" w:rsidRPr="00540462" w:rsidRDefault="005F14F9" w:rsidP="0045048A">
            <w:pPr>
              <w:pStyle w:val="Default"/>
              <w:rPr>
                <w:sz w:val="23"/>
                <w:szCs w:val="23"/>
              </w:rPr>
            </w:pPr>
            <w:r w:rsidRPr="00540462">
              <w:rPr>
                <w:sz w:val="23"/>
                <w:szCs w:val="23"/>
              </w:rPr>
              <w:t>Având în vedere cele menționate și în același timp considerând atribuțiile și rolul Ministerului Finanțelor în domeniul finanțelor publice, stabilite prin art.20 al Legii nr.181/2014, și anume de asigurare a gestionării mijloacelor financiare ale bugetelor componente ale bugetului public naţional prin contul unic trezorerial şi prin alte conturi deschise în Banca Naţională a Moldovei şi în bănci, de administrare a bugetului de stat şi monitorizare a executării celorlalte bugete componente ale bugetului public naţional,</w:t>
            </w:r>
          </w:p>
          <w:p w14:paraId="39C51B9A" w14:textId="58071FD6" w:rsidR="005F14F9" w:rsidRPr="009E4C4A" w:rsidRDefault="005F14F9" w:rsidP="0045048A">
            <w:pPr>
              <w:pStyle w:val="Default"/>
              <w:rPr>
                <w:sz w:val="23"/>
                <w:szCs w:val="23"/>
              </w:rPr>
            </w:pPr>
            <w:r w:rsidRPr="00A862B6">
              <w:rPr>
                <w:sz w:val="23"/>
                <w:szCs w:val="23"/>
              </w:rPr>
              <w:t>considerăm necesar</w:t>
            </w:r>
            <w:r w:rsidR="003222A9">
              <w:rPr>
                <w:sz w:val="23"/>
                <w:szCs w:val="23"/>
              </w:rPr>
              <w:t>ă</w:t>
            </w:r>
            <w:r w:rsidRPr="00A862B6">
              <w:rPr>
                <w:sz w:val="23"/>
                <w:szCs w:val="23"/>
              </w:rPr>
              <w:t xml:space="preserve"> păstrarea textului</w:t>
            </w:r>
            <w:r w:rsidRPr="00540462">
              <w:rPr>
                <w:sz w:val="23"/>
                <w:szCs w:val="23"/>
              </w:rPr>
              <w:t xml:space="preserve"> „Aceste conturi se deschid în baza autorizaţiei eliberate de Ministerul Finanţelor.”</w:t>
            </w:r>
          </w:p>
        </w:tc>
        <w:tc>
          <w:tcPr>
            <w:tcW w:w="3004" w:type="dxa"/>
            <w:shd w:val="clear" w:color="auto" w:fill="auto"/>
          </w:tcPr>
          <w:p w14:paraId="59C0A781" w14:textId="05B0FBFD" w:rsidR="005F14F9" w:rsidRPr="009E4C4A" w:rsidRDefault="005F14F9">
            <w:pPr>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tc>
      </w:tr>
      <w:tr w:rsidR="005F14F9" w:rsidRPr="009E4C4A" w14:paraId="02B5563B" w14:textId="77777777" w:rsidTr="004D7D3B">
        <w:trPr>
          <w:gridAfter w:val="1"/>
          <w:wAfter w:w="9" w:type="dxa"/>
        </w:trPr>
        <w:tc>
          <w:tcPr>
            <w:tcW w:w="5382" w:type="dxa"/>
            <w:vMerge w:val="restart"/>
          </w:tcPr>
          <w:p w14:paraId="08B4C9AE" w14:textId="77777777" w:rsidR="005F14F9" w:rsidRPr="009E4C4A" w:rsidRDefault="005F14F9" w:rsidP="005F14F9">
            <w:pPr>
              <w:tabs>
                <w:tab w:val="left" w:pos="315"/>
              </w:tabs>
              <w:rPr>
                <w:rFonts w:ascii="Times New Roman" w:eastAsia="Times New Roman" w:hAnsi="Times New Roman" w:cs="Times New Roman"/>
                <w:lang w:val="ro-MD"/>
              </w:rPr>
            </w:pPr>
            <w:r w:rsidRPr="009E4C4A">
              <w:rPr>
                <w:rFonts w:ascii="Times New Roman" w:eastAsia="Times New Roman" w:hAnsi="Times New Roman" w:cs="Times New Roman"/>
                <w:lang w:val="ro-MD"/>
              </w:rPr>
              <w:lastRenderedPageBreak/>
              <w:t>g)</w:t>
            </w:r>
            <w:r w:rsidRPr="009E4C4A">
              <w:rPr>
                <w:rFonts w:ascii="Times New Roman" w:eastAsia="Times New Roman" w:hAnsi="Times New Roman" w:cs="Times New Roman"/>
                <w:lang w:val="ro-MD"/>
              </w:rPr>
              <w:tab/>
              <w:t>în grupa de conturi 2250 „Depozite la vedere cu dobândă ale clienţilor”:</w:t>
            </w:r>
          </w:p>
          <w:p w14:paraId="1AA9DDD2" w14:textId="1F9F90FB"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w:t>
            </w:r>
          </w:p>
          <w:p w14:paraId="4766839A"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după descrierea contului 2275 se completează cu descrierea contului 2276, cu următorul cuprins:</w:t>
            </w:r>
          </w:p>
          <w:p w14:paraId="42D3871C"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„Contul 2276 este destinat pentru evidenţa mijloacelor băneşti și/sau a instrumentelor financiare cu dobândă depuse/transferate de către debitor notarului pentru a le transmite creditorului conform art.60 din Legea nr.246/2018 privind procedura notarială.</w:t>
            </w:r>
          </w:p>
          <w:p w14:paraId="47F317AF"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În creditul contului se înregistrează depunerile/transferurile aferente mijloacelor băneşti și/sau instrumentelor financiare efectuate de către debitor notarului pentru a le transmite creditorului conform prevederilor actelor normative în vigoare.</w:t>
            </w:r>
          </w:p>
          <w:p w14:paraId="53E07E99" w14:textId="77777777"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În debitul contului se înregistrează plățile aferente mijloacelor băneşti și/sau a instrumentelor financiare efectuate de către debitor notarului pentru a le transmite creditorului conform prevederilor actelor normative în vigoare.</w:t>
            </w:r>
          </w:p>
          <w:p w14:paraId="5C763B3A" w14:textId="66658E3E" w:rsidR="005F14F9" w:rsidRPr="009E4C4A" w:rsidRDefault="005F14F9" w:rsidP="005F14F9">
            <w:pPr>
              <w:rPr>
                <w:rFonts w:ascii="Times New Roman" w:eastAsia="Times New Roman" w:hAnsi="Times New Roman" w:cs="Times New Roman"/>
                <w:lang w:val="ro-MD"/>
              </w:rPr>
            </w:pPr>
            <w:r w:rsidRPr="009E4C4A">
              <w:rPr>
                <w:rFonts w:ascii="Times New Roman" w:eastAsia="Times New Roman" w:hAnsi="Times New Roman" w:cs="Times New Roman"/>
                <w:lang w:val="ro-MD"/>
              </w:rPr>
              <w:t>Soldul contului este creditor și reprezintă mijloacele băneşti care nu sunt încă transferate beneficiarului conform prevederilor actelor normative în vigoare.”;</w:t>
            </w:r>
          </w:p>
        </w:tc>
        <w:tc>
          <w:tcPr>
            <w:tcW w:w="2557" w:type="dxa"/>
          </w:tcPr>
          <w:p w14:paraId="3ECAFF74" w14:textId="55E35E22" w:rsidR="005F14F9" w:rsidRPr="009E4C4A" w:rsidRDefault="005F14F9" w:rsidP="005F14F9">
            <w:pPr>
              <w:rPr>
                <w:rFonts w:ascii="Times New Roman" w:hAnsi="Times New Roman" w:cs="Times New Roman"/>
                <w:bCs/>
                <w:lang w:val="ro-MD"/>
              </w:rPr>
            </w:pPr>
            <w:r w:rsidRPr="009E4C4A">
              <w:rPr>
                <w:rFonts w:ascii="Times New Roman" w:hAnsi="Times New Roman" w:cs="Times New Roman"/>
                <w:bCs/>
                <w:lang w:val="ro-MD"/>
              </w:rPr>
              <w:t>BC „Moldindconbank” S.A.</w:t>
            </w:r>
          </w:p>
        </w:tc>
        <w:tc>
          <w:tcPr>
            <w:tcW w:w="709" w:type="dxa"/>
          </w:tcPr>
          <w:p w14:paraId="0CB6E7C0" w14:textId="3A25B4B7" w:rsidR="005F14F9" w:rsidRPr="009E4C4A" w:rsidRDefault="0093644A" w:rsidP="0045048A">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12</w:t>
            </w:r>
            <w:r w:rsidR="005F14F9" w:rsidRPr="009E4C4A">
              <w:rPr>
                <w:rFonts w:ascii="Times New Roman" w:eastAsia="Times New Roman" w:hAnsi="Times New Roman" w:cs="Times New Roman"/>
                <w:lang w:val="ro-MD"/>
              </w:rPr>
              <w:t>.</w:t>
            </w:r>
          </w:p>
        </w:tc>
        <w:tc>
          <w:tcPr>
            <w:tcW w:w="3091" w:type="dxa"/>
            <w:shd w:val="clear" w:color="auto" w:fill="auto"/>
          </w:tcPr>
          <w:p w14:paraId="773FB9E9" w14:textId="7828CC0E" w:rsidR="005F14F9" w:rsidRPr="009E4C4A" w:rsidRDefault="005F14F9" w:rsidP="0045048A">
            <w:pPr>
              <w:rPr>
                <w:rFonts w:ascii="Times New Roman" w:hAnsi="Times New Roman" w:cs="Times New Roman"/>
                <w:lang w:val="ro-MD"/>
              </w:rPr>
            </w:pPr>
            <w:r w:rsidRPr="009E4C4A">
              <w:rPr>
                <w:rFonts w:ascii="Times New Roman" w:hAnsi="Times New Roman" w:cs="Times New Roman"/>
                <w:lang w:val="ro-MD"/>
              </w:rPr>
              <w:t>Pentru claritate, ținând cont de destinația contului, propunem următoarea redacție:</w:t>
            </w:r>
          </w:p>
          <w:p w14:paraId="5FE565B9" w14:textId="71BFD7EC" w:rsidR="005F14F9" w:rsidRPr="009E4C4A" w:rsidRDefault="005F14F9" w:rsidP="0045048A">
            <w:pPr>
              <w:pStyle w:val="Default"/>
              <w:rPr>
                <w:sz w:val="22"/>
                <w:szCs w:val="22"/>
              </w:rPr>
            </w:pPr>
            <w:r w:rsidRPr="009E4C4A">
              <w:rPr>
                <w:sz w:val="22"/>
                <w:szCs w:val="22"/>
              </w:rPr>
              <w:t xml:space="preserve">„Soldul contului este creditor și reprezintă mijloacele băneşti care nu sunt încă transferate </w:t>
            </w:r>
            <w:bookmarkStart w:id="1" w:name="_Hlk155566506"/>
            <w:r w:rsidRPr="00A862B6">
              <w:rPr>
                <w:sz w:val="22"/>
                <w:szCs w:val="22"/>
              </w:rPr>
              <w:t>creditorului sau urmează a fi restituite debitorului, în cazul anulării/ nefinalizării tranzacției,</w:t>
            </w:r>
            <w:r w:rsidRPr="009E4C4A">
              <w:rPr>
                <w:sz w:val="22"/>
                <w:szCs w:val="22"/>
              </w:rPr>
              <w:t xml:space="preserve">  </w:t>
            </w:r>
            <w:bookmarkEnd w:id="1"/>
            <w:r w:rsidRPr="009E4C4A">
              <w:rPr>
                <w:sz w:val="22"/>
                <w:szCs w:val="22"/>
              </w:rPr>
              <w:t>conform prevederilor actelor normative în vigoare”.</w:t>
            </w:r>
          </w:p>
        </w:tc>
        <w:tc>
          <w:tcPr>
            <w:tcW w:w="3004" w:type="dxa"/>
            <w:shd w:val="clear" w:color="auto" w:fill="auto"/>
          </w:tcPr>
          <w:p w14:paraId="7E7C5427" w14:textId="67CB6FB8" w:rsidR="005F14F9" w:rsidRPr="009E4C4A" w:rsidRDefault="005F14F9">
            <w:pPr>
              <w:rPr>
                <w:rFonts w:ascii="Times New Roman" w:eastAsia="Times New Roman" w:hAnsi="Times New Roman" w:cs="Times New Roman"/>
                <w:b/>
                <w:lang w:val="ro-MD"/>
              </w:rPr>
            </w:pPr>
            <w:r w:rsidRPr="009E4C4A">
              <w:rPr>
                <w:rFonts w:ascii="Times New Roman" w:eastAsia="Times New Roman" w:hAnsi="Times New Roman" w:cs="Times New Roman"/>
                <w:b/>
                <w:lang w:val="ro-MD"/>
              </w:rPr>
              <w:t>Se acceptă</w:t>
            </w:r>
          </w:p>
        </w:tc>
      </w:tr>
      <w:tr w:rsidR="005F14F9" w:rsidRPr="008C539E" w14:paraId="5609A432" w14:textId="77777777" w:rsidTr="004D7D3B">
        <w:trPr>
          <w:gridAfter w:val="1"/>
          <w:wAfter w:w="9" w:type="dxa"/>
        </w:trPr>
        <w:tc>
          <w:tcPr>
            <w:tcW w:w="5382" w:type="dxa"/>
            <w:vMerge/>
          </w:tcPr>
          <w:p w14:paraId="0C60A415" w14:textId="77777777" w:rsidR="005F14F9" w:rsidRPr="009E4C4A" w:rsidRDefault="005F14F9" w:rsidP="00A707CC">
            <w:pPr>
              <w:tabs>
                <w:tab w:val="left" w:pos="315"/>
              </w:tabs>
              <w:rPr>
                <w:rFonts w:ascii="Times New Roman" w:eastAsia="Times New Roman" w:hAnsi="Times New Roman" w:cs="Times New Roman"/>
                <w:lang w:val="ro-MD"/>
              </w:rPr>
            </w:pPr>
          </w:p>
        </w:tc>
        <w:tc>
          <w:tcPr>
            <w:tcW w:w="2557" w:type="dxa"/>
          </w:tcPr>
          <w:p w14:paraId="72836A8E" w14:textId="54988049" w:rsidR="005F14F9" w:rsidRPr="009E4C4A" w:rsidRDefault="005F14F9" w:rsidP="00A707CC">
            <w:pPr>
              <w:rPr>
                <w:rFonts w:ascii="Times New Roman" w:hAnsi="Times New Roman" w:cs="Times New Roman"/>
                <w:bCs/>
                <w:lang w:val="ro-MD"/>
              </w:rPr>
            </w:pPr>
            <w:r w:rsidRPr="00D7515C">
              <w:rPr>
                <w:rFonts w:ascii="Times New Roman" w:hAnsi="Times New Roman" w:cs="Times New Roman"/>
                <w:lang w:val="ro-MD"/>
              </w:rPr>
              <w:t>Ministerul Justiției al Republicii Moldova</w:t>
            </w:r>
          </w:p>
        </w:tc>
        <w:tc>
          <w:tcPr>
            <w:tcW w:w="709" w:type="dxa"/>
          </w:tcPr>
          <w:p w14:paraId="369BBAE1" w14:textId="6A77F4FE" w:rsidR="005F14F9" w:rsidRPr="009E4C4A" w:rsidRDefault="0093644A" w:rsidP="0045048A">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13.</w:t>
            </w:r>
          </w:p>
        </w:tc>
        <w:tc>
          <w:tcPr>
            <w:tcW w:w="3091" w:type="dxa"/>
            <w:shd w:val="clear" w:color="auto" w:fill="auto"/>
          </w:tcPr>
          <w:p w14:paraId="16FC4C7A" w14:textId="73EF41CC" w:rsidR="005F14F9" w:rsidRPr="00D7515C" w:rsidRDefault="005F14F9" w:rsidP="0045048A">
            <w:pPr>
              <w:rPr>
                <w:rFonts w:ascii="Times New Roman" w:hAnsi="Times New Roman" w:cs="Times New Roman"/>
                <w:lang w:val="ro-MD"/>
              </w:rPr>
            </w:pPr>
            <w:r w:rsidRPr="00D7515C">
              <w:rPr>
                <w:rFonts w:ascii="Times New Roman" w:hAnsi="Times New Roman" w:cs="Times New Roman"/>
                <w:lang w:val="ro-MD"/>
              </w:rPr>
              <w:t xml:space="preserve">Cu referire la pct. 1, comunicăm asupra importanței reglementării posibilității retragerii banilor din conturile speciale, doar de către notar pentru achitarea creanței datorate creditorului sau în baza hotărârii judecătorești. Astfel, </w:t>
            </w:r>
            <w:r w:rsidR="003222A9">
              <w:rPr>
                <w:rFonts w:ascii="Times New Roman" w:hAnsi="Times New Roman" w:cs="Times New Roman"/>
                <w:lang w:val="ro-MD"/>
              </w:rPr>
              <w:t xml:space="preserve">pornind de la </w:t>
            </w:r>
            <w:r w:rsidRPr="00D7515C">
              <w:rPr>
                <w:rFonts w:ascii="Times New Roman" w:hAnsi="Times New Roman" w:cs="Times New Roman"/>
                <w:lang w:val="ro-MD"/>
              </w:rPr>
              <w:t>practica existentă se atestă cazuri în care de pe conturile speciale deschise de către notar pentru primirea banilor în depozit, de către Serviciul Fiscal de Stat, au fost retrase sume de bani, pentru datoriile (ex: amendă) personale ale notarului în cauză. Prin urmare, considerăm oportun ca odată cu crearea unei grupe noi de conturi, acestea să nu fie urmărite pentru propriile datorii ale notarului. Prin</w:t>
            </w:r>
            <w:r w:rsidR="00787139">
              <w:rPr>
                <w:rFonts w:ascii="Times New Roman" w:hAnsi="Times New Roman" w:cs="Times New Roman"/>
                <w:lang w:val="ro-MD"/>
              </w:rPr>
              <w:t xml:space="preserve"> </w:t>
            </w:r>
            <w:r w:rsidRPr="00D7515C">
              <w:rPr>
                <w:rFonts w:ascii="Times New Roman" w:hAnsi="Times New Roman" w:cs="Times New Roman"/>
                <w:lang w:val="ro-MD"/>
              </w:rPr>
              <w:t xml:space="preserve">urmare, </w:t>
            </w:r>
            <w:r w:rsidRPr="00D7515C">
              <w:rPr>
                <w:rFonts w:ascii="Times New Roman" w:hAnsi="Times New Roman" w:cs="Times New Roman"/>
                <w:lang w:val="ro-MD"/>
              </w:rPr>
              <w:lastRenderedPageBreak/>
              <w:t xml:space="preserve">propunem ca proiectul să includă prevederi noi care să vizeze retragerea sumelor de bani din aceste conturi, </w:t>
            </w:r>
            <w:r w:rsidRPr="00072466">
              <w:rPr>
                <w:rFonts w:ascii="Times New Roman" w:hAnsi="Times New Roman" w:cs="Times New Roman"/>
                <w:lang w:val="ro-MD"/>
              </w:rPr>
              <w:t>reieșind</w:t>
            </w:r>
            <w:r w:rsidRPr="00D7515C">
              <w:rPr>
                <w:rFonts w:ascii="Times New Roman" w:hAnsi="Times New Roman" w:cs="Times New Roman"/>
                <w:lang w:val="ro-MD"/>
              </w:rPr>
              <w:t xml:space="preserve"> din cele invocate mai sus.</w:t>
            </w:r>
          </w:p>
          <w:p w14:paraId="0F5D15CB" w14:textId="4EE6EC83" w:rsidR="005F14F9" w:rsidRPr="009E4C4A" w:rsidRDefault="005F14F9" w:rsidP="0045048A">
            <w:pPr>
              <w:rPr>
                <w:rFonts w:ascii="Times New Roman" w:hAnsi="Times New Roman" w:cs="Times New Roman"/>
                <w:lang w:val="ro-MD"/>
              </w:rPr>
            </w:pPr>
            <w:r w:rsidRPr="00D7515C">
              <w:rPr>
                <w:rFonts w:ascii="Times New Roman" w:hAnsi="Times New Roman" w:cs="Times New Roman"/>
                <w:lang w:val="ro-MD"/>
              </w:rPr>
              <w:t xml:space="preserve">Totodată, semnalăm și situația când au fost identificate deficiențe în ceea ce ține de deschiderea conturilor speciale în valută (pentru primirea banilor în depozit de către notar). În acest fel, după deschiderea unui asemenea cont și depunerea sumelor în valută străină, s-a stabilit că aceasta a fost convertită în </w:t>
            </w:r>
            <w:r w:rsidR="00072466">
              <w:rPr>
                <w:rFonts w:ascii="Times New Roman" w:hAnsi="Times New Roman" w:cs="Times New Roman"/>
                <w:lang w:val="ro-MD"/>
              </w:rPr>
              <w:t xml:space="preserve">moneda </w:t>
            </w:r>
            <w:r w:rsidRPr="00D7515C">
              <w:rPr>
                <w:rFonts w:ascii="Times New Roman" w:hAnsi="Times New Roman" w:cs="Times New Roman"/>
                <w:lang w:val="ro-MD"/>
              </w:rPr>
              <w:t>națională (MDL). Drept consecință, la transmiterea banilor de către creditor, există probabilitatea necorespunderii echivalentului sumei în lei celor datorate.</w:t>
            </w:r>
          </w:p>
        </w:tc>
        <w:tc>
          <w:tcPr>
            <w:tcW w:w="3004" w:type="dxa"/>
            <w:shd w:val="clear" w:color="auto" w:fill="auto"/>
          </w:tcPr>
          <w:p w14:paraId="1E044BEB" w14:textId="34BEFE24" w:rsidR="005F14F9" w:rsidRDefault="009067B8" w:rsidP="0045048A">
            <w:pPr>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Comentariu</w:t>
            </w:r>
            <w:r w:rsidR="00072466">
              <w:rPr>
                <w:rFonts w:ascii="Times New Roman" w:eastAsia="Times New Roman" w:hAnsi="Times New Roman" w:cs="Times New Roman"/>
                <w:b/>
                <w:lang w:val="ro-MD"/>
              </w:rPr>
              <w:t>:</w:t>
            </w:r>
          </w:p>
          <w:p w14:paraId="0774883A" w14:textId="106850CB" w:rsidR="009067B8" w:rsidRDefault="009067B8" w:rsidP="0045048A">
            <w:pPr>
              <w:rPr>
                <w:rFonts w:ascii="Times New Roman" w:eastAsia="Times New Roman" w:hAnsi="Times New Roman" w:cs="Times New Roman"/>
                <w:bCs/>
                <w:lang w:val="ro-MD"/>
              </w:rPr>
            </w:pPr>
            <w:r w:rsidRPr="00A862B6">
              <w:rPr>
                <w:rFonts w:ascii="Times New Roman" w:eastAsia="Times New Roman" w:hAnsi="Times New Roman" w:cs="Times New Roman"/>
                <w:bCs/>
                <w:lang w:val="ro-MD"/>
              </w:rPr>
              <w:t xml:space="preserve">Prin </w:t>
            </w:r>
            <w:r>
              <w:rPr>
                <w:rFonts w:ascii="Times New Roman" w:eastAsia="Times New Roman" w:hAnsi="Times New Roman" w:cs="Times New Roman"/>
                <w:bCs/>
                <w:lang w:val="ro-MD"/>
              </w:rPr>
              <w:t>prezent</w:t>
            </w:r>
            <w:r w:rsidR="000D7479">
              <w:rPr>
                <w:rFonts w:ascii="Times New Roman" w:eastAsia="Times New Roman" w:hAnsi="Times New Roman" w:cs="Times New Roman"/>
                <w:bCs/>
                <w:lang w:val="ro-MD"/>
              </w:rPr>
              <w:t>u</w:t>
            </w:r>
            <w:r w:rsidR="003005B2">
              <w:rPr>
                <w:rFonts w:ascii="Times New Roman" w:eastAsia="Times New Roman" w:hAnsi="Times New Roman" w:cs="Times New Roman"/>
                <w:bCs/>
                <w:lang w:val="ro-MD"/>
              </w:rPr>
              <w:t>l</w:t>
            </w:r>
            <w:r w:rsidR="000D7479">
              <w:rPr>
                <w:rFonts w:ascii="Times New Roman" w:eastAsia="Times New Roman" w:hAnsi="Times New Roman" w:cs="Times New Roman"/>
                <w:bCs/>
                <w:lang w:val="ro-MD"/>
              </w:rPr>
              <w:t xml:space="preserve"> proiect de</w:t>
            </w:r>
            <w:r>
              <w:rPr>
                <w:rFonts w:ascii="Times New Roman" w:eastAsia="Times New Roman" w:hAnsi="Times New Roman" w:cs="Times New Roman"/>
                <w:bCs/>
                <w:lang w:val="ro-MD"/>
              </w:rPr>
              <w:t xml:space="preserve"> </w:t>
            </w:r>
            <w:r w:rsidRPr="00A862B6">
              <w:rPr>
                <w:rFonts w:ascii="Times New Roman" w:eastAsia="Times New Roman" w:hAnsi="Times New Roman" w:cs="Times New Roman"/>
                <w:bCs/>
                <w:lang w:val="ro-MD"/>
              </w:rPr>
              <w:t>hotărâre</w:t>
            </w:r>
            <w:r>
              <w:rPr>
                <w:rFonts w:ascii="Times New Roman" w:eastAsia="Times New Roman" w:hAnsi="Times New Roman" w:cs="Times New Roman"/>
                <w:bCs/>
                <w:lang w:val="ro-MD"/>
              </w:rPr>
              <w:t xml:space="preserve"> </w:t>
            </w:r>
            <w:r w:rsidRPr="00A862B6">
              <w:rPr>
                <w:rFonts w:ascii="Times New Roman" w:eastAsia="Times New Roman" w:hAnsi="Times New Roman" w:cs="Times New Roman"/>
                <w:bCs/>
                <w:lang w:val="ro-MD"/>
              </w:rPr>
              <w:t>a</w:t>
            </w:r>
            <w:r>
              <w:rPr>
                <w:rFonts w:ascii="Times New Roman" w:eastAsia="Times New Roman" w:hAnsi="Times New Roman" w:cs="Times New Roman"/>
                <w:bCs/>
                <w:lang w:val="ro-MD"/>
              </w:rPr>
              <w:t xml:space="preserve"> fost inclus contul </w:t>
            </w:r>
            <w:r w:rsidR="00CD70CF">
              <w:rPr>
                <w:rFonts w:ascii="Times New Roman" w:eastAsia="Times New Roman" w:hAnsi="Times New Roman" w:cs="Times New Roman"/>
                <w:bCs/>
                <w:lang w:val="ro-MD"/>
              </w:rPr>
              <w:t>„</w:t>
            </w:r>
            <w:r>
              <w:rPr>
                <w:rFonts w:ascii="Times New Roman" w:eastAsia="Times New Roman" w:hAnsi="Times New Roman" w:cs="Times New Roman"/>
                <w:bCs/>
                <w:lang w:val="ro-MD"/>
              </w:rPr>
              <w:t xml:space="preserve">2276 </w:t>
            </w:r>
            <w:r w:rsidRPr="009067B8">
              <w:rPr>
                <w:rFonts w:ascii="Times New Roman" w:eastAsia="Times New Roman" w:hAnsi="Times New Roman" w:cs="Times New Roman"/>
                <w:bCs/>
                <w:lang w:val="ro-MD"/>
              </w:rPr>
              <w:t>Conturi curente speciale ale notarilor</w:t>
            </w:r>
            <w:r w:rsidR="00CD70CF">
              <w:rPr>
                <w:rFonts w:ascii="Times New Roman" w:eastAsia="Times New Roman" w:hAnsi="Times New Roman" w:cs="Times New Roman"/>
                <w:bCs/>
                <w:lang w:val="ro-MD"/>
              </w:rPr>
              <w:t>”</w:t>
            </w:r>
            <w:r>
              <w:rPr>
                <w:rFonts w:ascii="Times New Roman" w:eastAsia="Times New Roman" w:hAnsi="Times New Roman" w:cs="Times New Roman"/>
                <w:bCs/>
                <w:lang w:val="ro-MD"/>
              </w:rPr>
              <w:t xml:space="preserve"> destinat </w:t>
            </w:r>
            <w:r w:rsidRPr="009067B8">
              <w:rPr>
                <w:rFonts w:ascii="Times New Roman" w:eastAsia="Times New Roman" w:hAnsi="Times New Roman" w:cs="Times New Roman"/>
                <w:bCs/>
                <w:lang w:val="ro-MD"/>
              </w:rPr>
              <w:t>pentru evidenţa mijloacelor băneşti și/sau a instrumentelor financiare cu dobândă depuse/transferate de către debitor notarului pentru a le transmite creditorului</w:t>
            </w:r>
            <w:r w:rsidR="00072466">
              <w:rPr>
                <w:rFonts w:ascii="Times New Roman" w:eastAsia="Times New Roman" w:hAnsi="Times New Roman" w:cs="Times New Roman"/>
                <w:bCs/>
                <w:lang w:val="ro-MD"/>
              </w:rPr>
              <w:t>,</w:t>
            </w:r>
            <w:r w:rsidRPr="009067B8">
              <w:rPr>
                <w:rFonts w:ascii="Times New Roman" w:eastAsia="Times New Roman" w:hAnsi="Times New Roman" w:cs="Times New Roman"/>
                <w:bCs/>
                <w:lang w:val="ro-MD"/>
              </w:rPr>
              <w:t xml:space="preserve"> conform art.60 din Legea nr.246/2018 privind procedura notarială</w:t>
            </w:r>
            <w:r w:rsidR="00C2029B">
              <w:rPr>
                <w:rFonts w:ascii="Times New Roman" w:eastAsia="Times New Roman" w:hAnsi="Times New Roman" w:cs="Times New Roman"/>
                <w:bCs/>
                <w:lang w:val="ro-MD"/>
              </w:rPr>
              <w:t>,</w:t>
            </w:r>
            <w:r>
              <w:rPr>
                <w:rFonts w:ascii="Times New Roman" w:eastAsia="Times New Roman" w:hAnsi="Times New Roman" w:cs="Times New Roman"/>
                <w:bCs/>
                <w:lang w:val="ro-MD"/>
              </w:rPr>
              <w:t xml:space="preserve"> și nu altfel.</w:t>
            </w:r>
          </w:p>
          <w:p w14:paraId="41321238" w14:textId="0F330E94" w:rsidR="00A862B6" w:rsidRDefault="00072466" w:rsidP="0045048A">
            <w:pPr>
              <w:spacing w:after="160"/>
              <w:ind w:right="142"/>
              <w:rPr>
                <w:rFonts w:ascii="Times New Roman" w:hAnsi="Times New Roman" w:cs="Times New Roman"/>
                <w:lang w:val="ro-MD"/>
              </w:rPr>
            </w:pPr>
            <w:r>
              <w:rPr>
                <w:rFonts w:ascii="Times New Roman" w:hAnsi="Times New Roman" w:cs="Times New Roman"/>
                <w:lang w:val="ro-MD"/>
              </w:rPr>
              <w:t>Referitor la</w:t>
            </w:r>
            <w:r w:rsidR="00141138">
              <w:rPr>
                <w:rFonts w:ascii="Times New Roman" w:hAnsi="Times New Roman" w:cs="Times New Roman"/>
                <w:lang w:val="ro-MD"/>
              </w:rPr>
              <w:t xml:space="preserve"> moneda în care se ține contabilitatea aceasta urmează a fi conform prevederilor a</w:t>
            </w:r>
            <w:r w:rsidR="00C2029B" w:rsidRPr="00C2029B">
              <w:rPr>
                <w:rFonts w:ascii="Times New Roman" w:hAnsi="Times New Roman" w:cs="Times New Roman"/>
                <w:lang w:val="ro-MD"/>
              </w:rPr>
              <w:t>rt</w:t>
            </w:r>
            <w:r w:rsidR="00141138">
              <w:rPr>
                <w:rFonts w:ascii="Times New Roman" w:hAnsi="Times New Roman" w:cs="Times New Roman"/>
                <w:lang w:val="ro-MD"/>
              </w:rPr>
              <w:t>.</w:t>
            </w:r>
            <w:r w:rsidR="00C2029B" w:rsidRPr="00C2029B">
              <w:rPr>
                <w:rFonts w:ascii="Times New Roman" w:hAnsi="Times New Roman" w:cs="Times New Roman"/>
                <w:lang w:val="ro-MD"/>
              </w:rPr>
              <w:t>7</w:t>
            </w:r>
            <w:r w:rsidR="00141138">
              <w:rPr>
                <w:rFonts w:ascii="Times New Roman" w:hAnsi="Times New Roman" w:cs="Times New Roman"/>
                <w:lang w:val="ro-MD"/>
              </w:rPr>
              <w:t xml:space="preserve"> din Legea nr.287/2017 </w:t>
            </w:r>
            <w:r w:rsidR="00141138" w:rsidRPr="00141138">
              <w:rPr>
                <w:rFonts w:ascii="Times New Roman" w:hAnsi="Times New Roman" w:cs="Times New Roman"/>
                <w:lang w:val="ro-MD"/>
              </w:rPr>
              <w:t>contabilităţii şi raportării financiare</w:t>
            </w:r>
            <w:r w:rsidR="00141138">
              <w:rPr>
                <w:rFonts w:ascii="Times New Roman" w:hAnsi="Times New Roman" w:cs="Times New Roman"/>
                <w:lang w:val="ro-MD"/>
              </w:rPr>
              <w:t>.</w:t>
            </w:r>
          </w:p>
          <w:p w14:paraId="0B5DF7EF" w14:textId="0A54D958" w:rsidR="00B96753" w:rsidRDefault="00B96753" w:rsidP="0045048A">
            <w:pPr>
              <w:spacing w:after="160"/>
              <w:ind w:right="142"/>
              <w:rPr>
                <w:rFonts w:ascii="Times New Roman" w:eastAsia="Times New Roman" w:hAnsi="Times New Roman" w:cs="Times New Roman"/>
                <w:bCs/>
                <w:lang w:val="ro-MD"/>
              </w:rPr>
            </w:pPr>
            <w:r>
              <w:rPr>
                <w:rFonts w:ascii="Times New Roman" w:eastAsia="Times New Roman" w:hAnsi="Times New Roman" w:cs="Times New Roman"/>
                <w:bCs/>
                <w:lang w:val="ro-MD"/>
              </w:rPr>
              <w:lastRenderedPageBreak/>
              <w:t xml:space="preserve">Totodată, menționăm că Planul de conturi reprezintă un act normativ </w:t>
            </w:r>
            <w:r w:rsidR="004B5624">
              <w:rPr>
                <w:rFonts w:ascii="Times New Roman" w:eastAsia="Times New Roman" w:hAnsi="Times New Roman" w:cs="Times New Roman"/>
                <w:bCs/>
                <w:lang w:val="ro-MD"/>
              </w:rPr>
              <w:t xml:space="preserve">care servește </w:t>
            </w:r>
            <w:r w:rsidR="004B5624" w:rsidRPr="004B5624">
              <w:rPr>
                <w:rFonts w:ascii="Times New Roman" w:eastAsia="Times New Roman" w:hAnsi="Times New Roman" w:cs="Times New Roman"/>
                <w:bCs/>
                <w:lang w:val="ro-MD"/>
              </w:rPr>
              <w:t>numai la înregistrarea corespunzătoare în contabilitate a operaţiunilor efectuate</w:t>
            </w:r>
            <w:r w:rsidR="004B5624">
              <w:rPr>
                <w:rFonts w:ascii="Times New Roman" w:eastAsia="Times New Roman" w:hAnsi="Times New Roman" w:cs="Times New Roman"/>
                <w:bCs/>
                <w:lang w:val="ro-MD"/>
              </w:rPr>
              <w:t xml:space="preserve"> și </w:t>
            </w:r>
            <w:r w:rsidR="004B5624" w:rsidRPr="004B5624">
              <w:rPr>
                <w:rFonts w:ascii="Times New Roman" w:eastAsia="Times New Roman" w:hAnsi="Times New Roman" w:cs="Times New Roman"/>
                <w:bCs/>
                <w:lang w:val="ro-MD"/>
              </w:rPr>
              <w:t>nu constituie temei legal pentru efectuarea operaţiunilor economico-financiare</w:t>
            </w:r>
            <w:r w:rsidR="004B5624">
              <w:rPr>
                <w:rFonts w:ascii="Times New Roman" w:eastAsia="Times New Roman" w:hAnsi="Times New Roman" w:cs="Times New Roman"/>
                <w:bCs/>
                <w:lang w:val="ro-MD"/>
              </w:rPr>
              <w:t>.</w:t>
            </w:r>
            <w:r w:rsidR="003005B2">
              <w:rPr>
                <w:rFonts w:ascii="Times New Roman" w:eastAsia="Times New Roman" w:hAnsi="Times New Roman" w:cs="Times New Roman"/>
                <w:bCs/>
                <w:lang w:val="ro-MD"/>
              </w:rPr>
              <w:t xml:space="preserve"> În acest context, opinăm faptul că Planul de conturi nu stabilește interdicții și relații cu clienții băncilor, acestea fiind stabilite  </w:t>
            </w:r>
            <w:r w:rsidR="003005B2" w:rsidRPr="003005B2">
              <w:rPr>
                <w:rFonts w:ascii="Times New Roman" w:eastAsia="Times New Roman" w:hAnsi="Times New Roman" w:cs="Times New Roman"/>
                <w:bCs/>
                <w:lang w:val="ro-MD"/>
              </w:rPr>
              <w:t>în concordanţă strictă cu prevederile actelor normative care le reglementează</w:t>
            </w:r>
            <w:r w:rsidR="003005B2">
              <w:rPr>
                <w:rFonts w:ascii="Times New Roman" w:eastAsia="Times New Roman" w:hAnsi="Times New Roman" w:cs="Times New Roman"/>
                <w:bCs/>
                <w:lang w:val="ro-MD"/>
              </w:rPr>
              <w:t xml:space="preserve">, în cazul dat este </w:t>
            </w:r>
            <w:r w:rsidR="003005B2" w:rsidRPr="003005B2">
              <w:rPr>
                <w:rFonts w:ascii="Times New Roman" w:eastAsia="Times New Roman" w:hAnsi="Times New Roman" w:cs="Times New Roman"/>
                <w:bCs/>
                <w:lang w:val="ro-MD"/>
              </w:rPr>
              <w:t>Legea nr.246/2018 privind procedura notarială</w:t>
            </w:r>
            <w:r w:rsidR="003005B2">
              <w:rPr>
                <w:rFonts w:ascii="Times New Roman" w:eastAsia="Times New Roman" w:hAnsi="Times New Roman" w:cs="Times New Roman"/>
                <w:bCs/>
                <w:lang w:val="ro-MD"/>
              </w:rPr>
              <w:t>.</w:t>
            </w:r>
          </w:p>
          <w:p w14:paraId="4DE573C3" w14:textId="77777777" w:rsidR="00B96753" w:rsidRDefault="00B96753" w:rsidP="0045048A">
            <w:pPr>
              <w:rPr>
                <w:rFonts w:ascii="Times New Roman" w:eastAsia="Times New Roman" w:hAnsi="Times New Roman" w:cs="Times New Roman"/>
                <w:bCs/>
                <w:lang w:val="ro-MD"/>
              </w:rPr>
            </w:pPr>
          </w:p>
          <w:p w14:paraId="3296A298" w14:textId="77777777" w:rsidR="00787139" w:rsidRDefault="00787139" w:rsidP="0045048A">
            <w:pPr>
              <w:rPr>
                <w:rFonts w:ascii="Times New Roman" w:eastAsia="Times New Roman" w:hAnsi="Times New Roman" w:cs="Times New Roman"/>
                <w:bCs/>
                <w:lang w:val="ro-MD"/>
              </w:rPr>
            </w:pPr>
          </w:p>
          <w:p w14:paraId="22E1E451" w14:textId="77777777" w:rsidR="00787139" w:rsidRDefault="00787139" w:rsidP="0045048A">
            <w:pPr>
              <w:rPr>
                <w:rFonts w:ascii="Times New Roman" w:eastAsia="Times New Roman" w:hAnsi="Times New Roman" w:cs="Times New Roman"/>
                <w:bCs/>
                <w:lang w:val="ro-MD"/>
              </w:rPr>
            </w:pPr>
          </w:p>
          <w:p w14:paraId="0119CE3D" w14:textId="109CE1C3" w:rsidR="00787358" w:rsidRPr="00A862B6" w:rsidRDefault="00787358" w:rsidP="0045048A">
            <w:pPr>
              <w:rPr>
                <w:rFonts w:ascii="Times New Roman" w:eastAsia="Times New Roman" w:hAnsi="Times New Roman" w:cs="Times New Roman"/>
                <w:bCs/>
                <w:lang w:val="ro-MD"/>
              </w:rPr>
            </w:pPr>
          </w:p>
        </w:tc>
      </w:tr>
      <w:tr w:rsidR="005F14F9" w:rsidRPr="009E4C4A" w14:paraId="4EB1B87D" w14:textId="77777777" w:rsidTr="004D7D3B">
        <w:trPr>
          <w:gridAfter w:val="1"/>
          <w:wAfter w:w="9" w:type="dxa"/>
        </w:trPr>
        <w:tc>
          <w:tcPr>
            <w:tcW w:w="5382" w:type="dxa"/>
          </w:tcPr>
          <w:p w14:paraId="4EB695C8" w14:textId="04A49FCF" w:rsidR="005F14F9" w:rsidRPr="009E4C4A" w:rsidRDefault="005F14F9" w:rsidP="005F14F9">
            <w:pPr>
              <w:tabs>
                <w:tab w:val="left" w:pos="315"/>
              </w:tabs>
              <w:rPr>
                <w:rFonts w:ascii="Times New Roman" w:eastAsia="Times New Roman" w:hAnsi="Times New Roman" w:cs="Times New Roman"/>
                <w:lang w:val="ro-MD"/>
              </w:rPr>
            </w:pPr>
            <w:r w:rsidRPr="009E4C4A">
              <w:rPr>
                <w:rFonts w:ascii="Times New Roman" w:eastAsia="Times New Roman" w:hAnsi="Times New Roman" w:cs="Times New Roman"/>
                <w:lang w:val="ro-MD"/>
              </w:rPr>
              <w:lastRenderedPageBreak/>
              <w:t>h)</w:t>
            </w:r>
            <w:r w:rsidRPr="009E4C4A">
              <w:rPr>
                <w:rFonts w:ascii="Times New Roman" w:eastAsia="Times New Roman" w:hAnsi="Times New Roman" w:cs="Times New Roman"/>
                <w:lang w:val="ro-MD"/>
              </w:rPr>
              <w:tab/>
              <w:t>în descrierea grupei 2770 „Provizioane” cuvintele „beneficiile salariaților” se substituie cu cuvintele „beneficiile angajaților”;</w:t>
            </w:r>
          </w:p>
        </w:tc>
        <w:tc>
          <w:tcPr>
            <w:tcW w:w="2557" w:type="dxa"/>
          </w:tcPr>
          <w:p w14:paraId="4D9CF3B8" w14:textId="30918DEC" w:rsidR="005F14F9" w:rsidRPr="009E4C4A" w:rsidRDefault="005F14F9" w:rsidP="005F14F9">
            <w:pPr>
              <w:rPr>
                <w:rFonts w:ascii="Times New Roman" w:hAnsi="Times New Roman" w:cs="Times New Roman"/>
                <w:bCs/>
              </w:rPr>
            </w:pPr>
            <w:r w:rsidRPr="009E4C4A">
              <w:rPr>
                <w:rFonts w:ascii="Times New Roman" w:hAnsi="Times New Roman" w:cs="Times New Roman"/>
                <w:bCs/>
                <w:lang w:val="ro-MD"/>
              </w:rPr>
              <w:t>BC „Moldindconbank” S.A.</w:t>
            </w:r>
          </w:p>
        </w:tc>
        <w:tc>
          <w:tcPr>
            <w:tcW w:w="709" w:type="dxa"/>
          </w:tcPr>
          <w:p w14:paraId="193EC06C" w14:textId="039C82E2" w:rsidR="005F14F9" w:rsidRPr="009E4C4A" w:rsidRDefault="005F14F9" w:rsidP="005F14F9">
            <w:pPr>
              <w:pStyle w:val="ListParagraph"/>
              <w:ind w:left="37"/>
              <w:rPr>
                <w:rFonts w:ascii="Times New Roman" w:eastAsia="Times New Roman" w:hAnsi="Times New Roman" w:cs="Times New Roman"/>
                <w:lang w:val="ro-MD"/>
              </w:rPr>
            </w:pPr>
            <w:r w:rsidRPr="009E4C4A">
              <w:rPr>
                <w:rFonts w:ascii="Times New Roman" w:eastAsia="Times New Roman" w:hAnsi="Times New Roman" w:cs="Times New Roman"/>
                <w:lang w:val="ro-MD"/>
              </w:rPr>
              <w:t>1</w:t>
            </w:r>
            <w:r w:rsidR="0093644A">
              <w:rPr>
                <w:rFonts w:ascii="Times New Roman" w:eastAsia="Times New Roman" w:hAnsi="Times New Roman" w:cs="Times New Roman"/>
                <w:lang w:val="ro-MD"/>
              </w:rPr>
              <w:t>4</w:t>
            </w:r>
            <w:r w:rsidRPr="009E4C4A">
              <w:rPr>
                <w:rFonts w:ascii="Times New Roman" w:eastAsia="Times New Roman" w:hAnsi="Times New Roman" w:cs="Times New Roman"/>
                <w:lang w:val="ro-MD"/>
              </w:rPr>
              <w:t>.</w:t>
            </w:r>
          </w:p>
        </w:tc>
        <w:tc>
          <w:tcPr>
            <w:tcW w:w="3091" w:type="dxa"/>
            <w:shd w:val="clear" w:color="auto" w:fill="auto"/>
          </w:tcPr>
          <w:p w14:paraId="1EE91FF6" w14:textId="77777777" w:rsidR="005F14F9" w:rsidRPr="009E4C4A" w:rsidRDefault="005F14F9" w:rsidP="0045048A">
            <w:pPr>
              <w:rPr>
                <w:rFonts w:ascii="Times New Roman" w:hAnsi="Times New Roman" w:cs="Times New Roman"/>
                <w:lang w:val="ro-MD"/>
              </w:rPr>
            </w:pPr>
            <w:r w:rsidRPr="009E4C4A">
              <w:rPr>
                <w:rFonts w:ascii="Times New Roman" w:hAnsi="Times New Roman" w:cs="Times New Roman"/>
                <w:lang w:val="ro-MD"/>
              </w:rPr>
              <w:t>Se propune menținerea termenului „salariaţi” pentru descrierea conturilor  2770 „Provizioane” și 5770 „Cheltuieli cu provizioane și alte contribuţii”;</w:t>
            </w:r>
          </w:p>
          <w:p w14:paraId="5E2C6115" w14:textId="77777777" w:rsidR="005F14F9" w:rsidRPr="009E4C4A" w:rsidRDefault="005F14F9" w:rsidP="0045048A">
            <w:pPr>
              <w:rPr>
                <w:rFonts w:ascii="Times New Roman" w:hAnsi="Times New Roman" w:cs="Times New Roman"/>
                <w:lang w:val="ro-MD"/>
              </w:rPr>
            </w:pPr>
          </w:p>
          <w:p w14:paraId="7F4BB191" w14:textId="32CD4E87" w:rsidR="005F14F9" w:rsidRPr="009E4C4A" w:rsidRDefault="005F14F9" w:rsidP="0045048A">
            <w:pPr>
              <w:rPr>
                <w:rFonts w:ascii="Times New Roman" w:hAnsi="Times New Roman" w:cs="Times New Roman"/>
                <w:lang w:val="ro-MD"/>
              </w:rPr>
            </w:pPr>
            <w:r w:rsidRPr="009E4C4A">
              <w:rPr>
                <w:rFonts w:ascii="Times New Roman" w:hAnsi="Times New Roman" w:cs="Times New Roman"/>
                <w:lang w:val="ro-MD"/>
              </w:rPr>
              <w:t>-</w:t>
            </w:r>
            <w:r w:rsidR="0045048A">
              <w:rPr>
                <w:rFonts w:ascii="Times New Roman" w:hAnsi="Times New Roman" w:cs="Times New Roman"/>
                <w:lang w:val="ro-MD"/>
              </w:rPr>
              <w:t xml:space="preserve"> </w:t>
            </w:r>
            <w:r w:rsidRPr="009E4C4A">
              <w:rPr>
                <w:rFonts w:ascii="Times New Roman" w:hAnsi="Times New Roman" w:cs="Times New Roman"/>
                <w:lang w:val="ro-MD"/>
              </w:rPr>
              <w:t xml:space="preserve">utilizarea termenului „salariați”/ „salariați angajați” în Codul muncii al Republicii </w:t>
            </w:r>
            <w:r w:rsidRPr="009E4C4A">
              <w:rPr>
                <w:rFonts w:ascii="Times New Roman" w:hAnsi="Times New Roman" w:cs="Times New Roman"/>
                <w:lang w:val="ro-MD"/>
              </w:rPr>
              <w:lastRenderedPageBreak/>
              <w:t>Moldova, nr.154 din 28.03.2003;</w:t>
            </w:r>
          </w:p>
          <w:p w14:paraId="1768BC43" w14:textId="02AC030D" w:rsidR="005F14F9" w:rsidRPr="009E4C4A" w:rsidRDefault="005F14F9" w:rsidP="0045048A">
            <w:pPr>
              <w:rPr>
                <w:rFonts w:ascii="Times New Roman" w:hAnsi="Times New Roman" w:cs="Times New Roman"/>
                <w:lang w:val="ro-MD"/>
              </w:rPr>
            </w:pPr>
            <w:r w:rsidRPr="009E4C4A">
              <w:rPr>
                <w:rFonts w:ascii="Times New Roman" w:hAnsi="Times New Roman" w:cs="Times New Roman"/>
                <w:lang w:val="ro-MD"/>
              </w:rPr>
              <w:t>-</w:t>
            </w:r>
            <w:r w:rsidR="0045048A">
              <w:rPr>
                <w:rFonts w:ascii="Times New Roman" w:hAnsi="Times New Roman" w:cs="Times New Roman"/>
                <w:lang w:val="ro-MD"/>
              </w:rPr>
              <w:t xml:space="preserve"> </w:t>
            </w:r>
            <w:r w:rsidRPr="009E4C4A">
              <w:rPr>
                <w:rFonts w:ascii="Times New Roman" w:hAnsi="Times New Roman" w:cs="Times New Roman"/>
                <w:lang w:val="ro-MD"/>
              </w:rPr>
              <w:t>menținerea termenului „salariaţi” la descrierea conturilor 1804 și 2804 „Decontări cu salariaţii băncii”.</w:t>
            </w:r>
          </w:p>
        </w:tc>
        <w:tc>
          <w:tcPr>
            <w:tcW w:w="3004" w:type="dxa"/>
            <w:shd w:val="clear" w:color="auto" w:fill="auto"/>
          </w:tcPr>
          <w:p w14:paraId="308CFF3F" w14:textId="7422B6DE" w:rsidR="005F14F9" w:rsidRPr="009E4C4A" w:rsidRDefault="005F14F9" w:rsidP="005F14F9">
            <w:pPr>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w:t>
            </w:r>
            <w:r w:rsidRPr="009E4C4A">
              <w:rPr>
                <w:rFonts w:ascii="Times New Roman" w:eastAsia="Times New Roman" w:hAnsi="Times New Roman" w:cs="Times New Roman"/>
                <w:b/>
                <w:lang w:val="ro-MD"/>
              </w:rPr>
              <w:t>e acceptă</w:t>
            </w:r>
          </w:p>
          <w:p w14:paraId="280B25B1" w14:textId="49DDB53D" w:rsidR="005F14F9" w:rsidRPr="009E4C4A" w:rsidRDefault="005F14F9" w:rsidP="005F14F9">
            <w:pPr>
              <w:rPr>
                <w:rFonts w:ascii="Times New Roman" w:eastAsia="Times New Roman" w:hAnsi="Times New Roman" w:cs="Times New Roman"/>
                <w:b/>
                <w:lang w:val="ro-RO"/>
              </w:rPr>
            </w:pPr>
          </w:p>
        </w:tc>
      </w:tr>
      <w:tr w:rsidR="005F14F9" w:rsidRPr="009E4C4A" w14:paraId="50F9731D" w14:textId="77777777" w:rsidTr="004D7D3B">
        <w:trPr>
          <w:gridAfter w:val="1"/>
          <w:wAfter w:w="9" w:type="dxa"/>
        </w:trPr>
        <w:tc>
          <w:tcPr>
            <w:tcW w:w="5382" w:type="dxa"/>
          </w:tcPr>
          <w:p w14:paraId="552B15F1" w14:textId="1DCBC0EB" w:rsidR="005F14F9" w:rsidRPr="009E4C4A" w:rsidRDefault="005F14F9" w:rsidP="005F14F9">
            <w:pPr>
              <w:tabs>
                <w:tab w:val="left" w:pos="315"/>
              </w:tabs>
              <w:rPr>
                <w:rFonts w:ascii="Times New Roman" w:eastAsia="Times New Roman" w:hAnsi="Times New Roman" w:cs="Times New Roman"/>
                <w:lang w:val="ro-MD"/>
              </w:rPr>
            </w:pPr>
            <w:r w:rsidRPr="00C20A40">
              <w:rPr>
                <w:rFonts w:ascii="Times New Roman" w:eastAsia="Times New Roman" w:hAnsi="Times New Roman" w:cs="Times New Roman"/>
                <w:lang w:val="ro-MD"/>
              </w:rPr>
              <w:t>2. Regulamentul cu privire la poziţia valutară deschisă a băncii, aprobat de Consiliul de administraţie al Băncii Naţionale a Moldovei, proces-verbal nr.41/1997 (Monitorul Oficial al Republicii Moldova, 1999, nr.112-114, art.198), cu modificările ulterioare, se modifică după cum urmează:</w:t>
            </w:r>
          </w:p>
        </w:tc>
        <w:tc>
          <w:tcPr>
            <w:tcW w:w="2557" w:type="dxa"/>
          </w:tcPr>
          <w:p w14:paraId="70F59EAE" w14:textId="6D2CDAAA" w:rsidR="005F14F9" w:rsidRPr="009E4C4A" w:rsidRDefault="005F14F9" w:rsidP="005F14F9">
            <w:pPr>
              <w:rPr>
                <w:rFonts w:ascii="Times New Roman" w:hAnsi="Times New Roman" w:cs="Times New Roman"/>
                <w:bCs/>
                <w:lang w:val="ro-MD"/>
              </w:rPr>
            </w:pPr>
            <w:r w:rsidRPr="009E4C4A">
              <w:rPr>
                <w:rFonts w:ascii="Times New Roman" w:hAnsi="Times New Roman" w:cs="Times New Roman"/>
                <w:lang w:val="ro-MD"/>
              </w:rPr>
              <w:t>Ministerul Finanțelor al Republicii Moldova</w:t>
            </w:r>
          </w:p>
        </w:tc>
        <w:tc>
          <w:tcPr>
            <w:tcW w:w="709" w:type="dxa"/>
          </w:tcPr>
          <w:p w14:paraId="19D57B24" w14:textId="7F8E6FD9" w:rsidR="005F14F9" w:rsidRPr="009E4C4A" w:rsidRDefault="005F14F9" w:rsidP="005F14F9">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1</w:t>
            </w:r>
            <w:r w:rsidR="0093644A">
              <w:rPr>
                <w:rFonts w:ascii="Times New Roman" w:eastAsia="Times New Roman" w:hAnsi="Times New Roman" w:cs="Times New Roman"/>
                <w:lang w:val="ro-MD"/>
              </w:rPr>
              <w:t>5</w:t>
            </w:r>
            <w:r>
              <w:rPr>
                <w:rFonts w:ascii="Times New Roman" w:eastAsia="Times New Roman" w:hAnsi="Times New Roman" w:cs="Times New Roman"/>
                <w:lang w:val="ro-MD"/>
              </w:rPr>
              <w:t>.</w:t>
            </w:r>
          </w:p>
        </w:tc>
        <w:tc>
          <w:tcPr>
            <w:tcW w:w="3091" w:type="dxa"/>
            <w:shd w:val="clear" w:color="auto" w:fill="auto"/>
          </w:tcPr>
          <w:p w14:paraId="2DE1C65B" w14:textId="304B96B7" w:rsidR="005F14F9" w:rsidRPr="009E4C4A" w:rsidRDefault="005F14F9" w:rsidP="0045048A">
            <w:pPr>
              <w:rPr>
                <w:rFonts w:ascii="Times New Roman" w:hAnsi="Times New Roman" w:cs="Times New Roman"/>
                <w:lang w:val="ro-MD"/>
              </w:rPr>
            </w:pPr>
            <w:r w:rsidRPr="00C20A40">
              <w:rPr>
                <w:rFonts w:ascii="Times New Roman" w:hAnsi="Times New Roman" w:cs="Times New Roman"/>
                <w:lang w:val="ro-MD"/>
              </w:rPr>
              <w:t>La pct. 2, textul „proces-verbal nr.41/1997”, se propune a fi substituit cu textul „Hotărârea Consiliului de Administraţie al Băncii Naționale a Moldovei nr.126/1997”.</w:t>
            </w:r>
          </w:p>
        </w:tc>
        <w:tc>
          <w:tcPr>
            <w:tcW w:w="3004" w:type="dxa"/>
            <w:shd w:val="clear" w:color="auto" w:fill="auto"/>
          </w:tcPr>
          <w:p w14:paraId="7457E4F3" w14:textId="72CE61CD" w:rsidR="005F14F9" w:rsidRDefault="005F14F9" w:rsidP="005F14F9">
            <w:pPr>
              <w:rPr>
                <w:rFonts w:ascii="Times New Roman" w:eastAsia="Times New Roman" w:hAnsi="Times New Roman" w:cs="Times New Roman"/>
                <w:b/>
                <w:lang w:val="ro-MD"/>
              </w:rPr>
            </w:pPr>
            <w:r>
              <w:rPr>
                <w:rFonts w:ascii="Times New Roman" w:eastAsia="Times New Roman" w:hAnsi="Times New Roman" w:cs="Times New Roman"/>
                <w:b/>
                <w:lang w:val="ro-MD"/>
              </w:rPr>
              <w:t>Nu se acceptă</w:t>
            </w:r>
          </w:p>
          <w:p w14:paraId="49836654" w14:textId="6B8B89E0" w:rsidR="005F14F9" w:rsidRPr="00A862B6" w:rsidRDefault="005F14F9" w:rsidP="005F14F9">
            <w:pPr>
              <w:rPr>
                <w:rFonts w:ascii="Times New Roman" w:eastAsia="Times New Roman" w:hAnsi="Times New Roman" w:cs="Times New Roman"/>
                <w:bCs/>
                <w:lang w:val="ro-MD"/>
              </w:rPr>
            </w:pPr>
            <w:r w:rsidRPr="001820EA">
              <w:rPr>
                <w:rFonts w:ascii="Times New Roman" w:eastAsia="Times New Roman" w:hAnsi="Times New Roman" w:cs="Times New Roman"/>
                <w:bCs/>
                <w:lang w:val="ro-MD"/>
              </w:rPr>
              <w:t>Regulamentul cu privire la poziţia valutară deschisă a băncii</w:t>
            </w:r>
            <w:r>
              <w:rPr>
                <w:rFonts w:ascii="Times New Roman" w:eastAsia="Times New Roman" w:hAnsi="Times New Roman" w:cs="Times New Roman"/>
                <w:bCs/>
                <w:lang w:val="ro-MD"/>
              </w:rPr>
              <w:t xml:space="preserve">, </w:t>
            </w:r>
            <w:r w:rsidRPr="000B2C4F">
              <w:rPr>
                <w:rFonts w:ascii="Times New Roman" w:eastAsia="Times New Roman" w:hAnsi="Times New Roman" w:cs="Times New Roman"/>
                <w:bCs/>
                <w:lang w:val="ro-MD"/>
              </w:rPr>
              <w:t>proces-verbal nr.41/1997 (Monitorul Oficial al Republicii Moldova, 1999, nr.112-114, art.198)</w:t>
            </w:r>
            <w:r>
              <w:rPr>
                <w:rFonts w:ascii="Times New Roman" w:eastAsia="Times New Roman" w:hAnsi="Times New Roman" w:cs="Times New Roman"/>
                <w:bCs/>
                <w:lang w:val="ro-MD"/>
              </w:rPr>
              <w:t xml:space="preserve"> a fost înregistrat la </w:t>
            </w:r>
            <w:r w:rsidRPr="001820EA">
              <w:rPr>
                <w:rFonts w:ascii="Times New Roman" w:eastAsia="Times New Roman" w:hAnsi="Times New Roman" w:cs="Times New Roman"/>
                <w:bCs/>
                <w:lang w:val="ro-MD"/>
              </w:rPr>
              <w:t>Ministerul Justiției al Republicii Moldova</w:t>
            </w:r>
            <w:r>
              <w:rPr>
                <w:rFonts w:ascii="Times New Roman" w:eastAsia="Times New Roman" w:hAnsi="Times New Roman" w:cs="Times New Roman"/>
                <w:bCs/>
                <w:lang w:val="ro-MD"/>
              </w:rPr>
              <w:t xml:space="preserve"> cu nr.1167 din 15.12.2016. </w:t>
            </w:r>
          </w:p>
        </w:tc>
      </w:tr>
      <w:tr w:rsidR="005F14F9" w:rsidRPr="009E4C4A" w14:paraId="38E72223" w14:textId="77777777" w:rsidTr="004D7D3B">
        <w:trPr>
          <w:gridAfter w:val="1"/>
          <w:wAfter w:w="9" w:type="dxa"/>
        </w:trPr>
        <w:tc>
          <w:tcPr>
            <w:tcW w:w="5382" w:type="dxa"/>
          </w:tcPr>
          <w:p w14:paraId="421A3DD1" w14:textId="62366809" w:rsidR="005F14F9" w:rsidRPr="00C20A40" w:rsidRDefault="005F14F9" w:rsidP="005F14F9">
            <w:pPr>
              <w:tabs>
                <w:tab w:val="left" w:pos="315"/>
              </w:tabs>
              <w:rPr>
                <w:rFonts w:ascii="Times New Roman" w:eastAsia="Times New Roman" w:hAnsi="Times New Roman" w:cs="Times New Roman"/>
                <w:lang w:val="ro-MD"/>
              </w:rPr>
            </w:pPr>
            <w:r w:rsidRPr="00C20A40">
              <w:rPr>
                <w:rFonts w:ascii="Times New Roman" w:eastAsia="Times New Roman" w:hAnsi="Times New Roman" w:cs="Times New Roman"/>
                <w:lang w:val="ro-MD"/>
              </w:rPr>
              <w:t>3. Prezenta hotărâre intră în vigoare la expirarea a 30 zile de la data publicării în Monitorul Oficial al Republicii Moldova.</w:t>
            </w:r>
          </w:p>
        </w:tc>
        <w:tc>
          <w:tcPr>
            <w:tcW w:w="2557" w:type="dxa"/>
          </w:tcPr>
          <w:p w14:paraId="03C25BF6" w14:textId="3A53ABBA" w:rsidR="005F14F9" w:rsidRPr="009E4C4A" w:rsidRDefault="005F14F9" w:rsidP="005F14F9">
            <w:pPr>
              <w:rPr>
                <w:rFonts w:ascii="Times New Roman" w:hAnsi="Times New Roman" w:cs="Times New Roman"/>
                <w:bCs/>
                <w:lang w:val="ro-MD"/>
              </w:rPr>
            </w:pPr>
            <w:r w:rsidRPr="009E4C4A">
              <w:rPr>
                <w:rFonts w:ascii="Times New Roman" w:hAnsi="Times New Roman" w:cs="Times New Roman"/>
                <w:lang w:val="ro-MD"/>
              </w:rPr>
              <w:t>Ministerul Finanțelor al Republicii Moldova</w:t>
            </w:r>
          </w:p>
        </w:tc>
        <w:tc>
          <w:tcPr>
            <w:tcW w:w="709" w:type="dxa"/>
          </w:tcPr>
          <w:p w14:paraId="524EA875" w14:textId="124C59A1" w:rsidR="005F14F9" w:rsidRPr="009E4C4A" w:rsidRDefault="005F14F9" w:rsidP="005F14F9">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1</w:t>
            </w:r>
            <w:r w:rsidR="0093644A">
              <w:rPr>
                <w:rFonts w:ascii="Times New Roman" w:eastAsia="Times New Roman" w:hAnsi="Times New Roman" w:cs="Times New Roman"/>
                <w:lang w:val="ro-MD"/>
              </w:rPr>
              <w:t>6</w:t>
            </w:r>
            <w:r>
              <w:rPr>
                <w:rFonts w:ascii="Times New Roman" w:eastAsia="Times New Roman" w:hAnsi="Times New Roman" w:cs="Times New Roman"/>
                <w:lang w:val="ro-MD"/>
              </w:rPr>
              <w:t>.</w:t>
            </w:r>
          </w:p>
        </w:tc>
        <w:tc>
          <w:tcPr>
            <w:tcW w:w="3091" w:type="dxa"/>
            <w:shd w:val="clear" w:color="auto" w:fill="auto"/>
          </w:tcPr>
          <w:p w14:paraId="2EA18445" w14:textId="0A5EBA8E" w:rsidR="005F14F9" w:rsidRPr="00C20A40" w:rsidRDefault="005F14F9" w:rsidP="0045048A">
            <w:pPr>
              <w:rPr>
                <w:rFonts w:ascii="Times New Roman" w:hAnsi="Times New Roman" w:cs="Times New Roman"/>
                <w:lang w:val="ro-MD"/>
              </w:rPr>
            </w:pPr>
            <w:r w:rsidRPr="00C20A40">
              <w:rPr>
                <w:rFonts w:ascii="Times New Roman" w:hAnsi="Times New Roman" w:cs="Times New Roman"/>
                <w:lang w:val="ro-MD"/>
              </w:rPr>
              <w:t>Suplimentar, ținem să remarcăm că pct. 3 urmează a fi exclus din proiectul hotărârii, ca fiind de prisos, ținând cont de prevederile art. 56 alin. (1) din Legea nr. 100/2017, care stipulează că actele normative intră în vigoare peste o lună de la data publicării în Monitorul Oficial al Republicii Moldova.</w:t>
            </w:r>
          </w:p>
        </w:tc>
        <w:tc>
          <w:tcPr>
            <w:tcW w:w="3004" w:type="dxa"/>
            <w:shd w:val="clear" w:color="auto" w:fill="auto"/>
          </w:tcPr>
          <w:p w14:paraId="14E88758" w14:textId="7B9FF4CB" w:rsidR="005F14F9" w:rsidRDefault="005F14F9" w:rsidP="005F14F9">
            <w:pPr>
              <w:rPr>
                <w:rFonts w:ascii="Times New Roman" w:eastAsia="Times New Roman" w:hAnsi="Times New Roman" w:cs="Times New Roman"/>
                <w:b/>
                <w:lang w:val="ro-MD"/>
              </w:rPr>
            </w:pPr>
            <w:r>
              <w:rPr>
                <w:rFonts w:ascii="Times New Roman" w:eastAsia="Times New Roman" w:hAnsi="Times New Roman" w:cs="Times New Roman"/>
                <w:b/>
                <w:lang w:val="ro-MD"/>
              </w:rPr>
              <w:t>Comentariu</w:t>
            </w:r>
            <w:r w:rsidR="00072466">
              <w:rPr>
                <w:rFonts w:ascii="Times New Roman" w:eastAsia="Times New Roman" w:hAnsi="Times New Roman" w:cs="Times New Roman"/>
                <w:b/>
                <w:lang w:val="ro-MD"/>
              </w:rPr>
              <w:t>:</w:t>
            </w:r>
          </w:p>
          <w:p w14:paraId="055C16E6" w14:textId="2CE3F0CF" w:rsidR="005F14F9" w:rsidRPr="00ED3EDE" w:rsidRDefault="005F14F9" w:rsidP="005F14F9">
            <w:pPr>
              <w:rPr>
                <w:rFonts w:ascii="Times New Roman" w:eastAsia="Times New Roman" w:hAnsi="Times New Roman" w:cs="Times New Roman"/>
                <w:b/>
                <w:lang w:val="ro-MD"/>
              </w:rPr>
            </w:pPr>
            <w:r>
              <w:rPr>
                <w:rFonts w:ascii="Times New Roman" w:eastAsia="Times New Roman" w:hAnsi="Times New Roman" w:cs="Times New Roman"/>
                <w:bCs/>
                <w:lang w:val="ro-MD"/>
              </w:rPr>
              <w:t>H</w:t>
            </w:r>
            <w:r w:rsidRPr="00A862B6">
              <w:rPr>
                <w:rFonts w:ascii="Times New Roman" w:eastAsia="Times New Roman" w:hAnsi="Times New Roman" w:cs="Times New Roman"/>
                <w:bCs/>
                <w:lang w:val="ro-MD"/>
              </w:rPr>
              <w:t xml:space="preserve">otărârea va intra în vigoare la </w:t>
            </w:r>
            <w:r w:rsidR="00A707CC">
              <w:rPr>
                <w:rFonts w:ascii="Times New Roman" w:eastAsia="Times New Roman" w:hAnsi="Times New Roman" w:cs="Times New Roman"/>
                <w:bCs/>
                <w:lang w:val="ro-MD"/>
              </w:rPr>
              <w:t xml:space="preserve">expirarea a </w:t>
            </w:r>
            <w:r w:rsidR="006341BF">
              <w:rPr>
                <w:rFonts w:ascii="Times New Roman" w:eastAsia="Times New Roman" w:hAnsi="Times New Roman" w:cs="Times New Roman"/>
                <w:bCs/>
                <w:lang w:val="ro-MD"/>
              </w:rPr>
              <w:t>10</w:t>
            </w:r>
            <w:r w:rsidR="00A707CC">
              <w:rPr>
                <w:rFonts w:ascii="Times New Roman" w:eastAsia="Times New Roman" w:hAnsi="Times New Roman" w:cs="Times New Roman"/>
                <w:bCs/>
                <w:lang w:val="ro-MD"/>
              </w:rPr>
              <w:t xml:space="preserve"> zile lucrătoare de la </w:t>
            </w:r>
            <w:r w:rsidRPr="00A862B6">
              <w:rPr>
                <w:rFonts w:ascii="Times New Roman" w:eastAsia="Times New Roman" w:hAnsi="Times New Roman" w:cs="Times New Roman"/>
                <w:bCs/>
                <w:lang w:val="ro-MD"/>
              </w:rPr>
              <w:t xml:space="preserve">data </w:t>
            </w:r>
            <w:r w:rsidRPr="00A862B6">
              <w:rPr>
                <w:rFonts w:ascii="Times New Roman" w:hAnsi="Times New Roman" w:cs="Times New Roman"/>
                <w:bCs/>
                <w:lang w:val="ro-MD"/>
              </w:rPr>
              <w:t>publicării în Monitorul Oficial al Republicii Moldova.</w:t>
            </w:r>
          </w:p>
        </w:tc>
      </w:tr>
      <w:tr w:rsidR="0093644A" w:rsidRPr="009E4C4A" w14:paraId="14846D67" w14:textId="77777777" w:rsidTr="00BB7B61">
        <w:trPr>
          <w:gridAfter w:val="1"/>
          <w:wAfter w:w="9" w:type="dxa"/>
        </w:trPr>
        <w:tc>
          <w:tcPr>
            <w:tcW w:w="5382" w:type="dxa"/>
          </w:tcPr>
          <w:p w14:paraId="47E0CC5B"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160C8D70" w14:textId="6863F3A4" w:rsidR="0093644A" w:rsidRPr="009E4C4A" w:rsidRDefault="0093644A" w:rsidP="005F14F9">
            <w:pPr>
              <w:rPr>
                <w:rFonts w:ascii="Times New Roman" w:hAnsi="Times New Roman" w:cs="Times New Roman"/>
                <w:bCs/>
                <w:lang w:val="ro-MD"/>
              </w:rPr>
            </w:pPr>
            <w:r w:rsidRPr="009E4C4A">
              <w:rPr>
                <w:rFonts w:ascii="Times New Roman" w:hAnsi="Times New Roman" w:cs="Times New Roman"/>
                <w:bCs/>
                <w:lang w:val="ro-MD"/>
              </w:rPr>
              <w:t>BC „MAIB” S.A.</w:t>
            </w:r>
          </w:p>
        </w:tc>
        <w:tc>
          <w:tcPr>
            <w:tcW w:w="709" w:type="dxa"/>
            <w:vMerge w:val="restart"/>
          </w:tcPr>
          <w:p w14:paraId="7A9AB503" w14:textId="3FDFEE96" w:rsidR="0093644A" w:rsidRPr="009E4C4A" w:rsidRDefault="0093644A" w:rsidP="005F14F9">
            <w:pPr>
              <w:pStyle w:val="ListParagraph"/>
              <w:ind w:left="37"/>
              <w:rPr>
                <w:rFonts w:ascii="Times New Roman" w:eastAsia="Times New Roman" w:hAnsi="Times New Roman" w:cs="Times New Roman"/>
                <w:lang w:val="ro-MD"/>
              </w:rPr>
            </w:pPr>
            <w:r w:rsidRPr="009E4C4A">
              <w:rPr>
                <w:rFonts w:ascii="Times New Roman" w:eastAsia="Times New Roman" w:hAnsi="Times New Roman" w:cs="Times New Roman"/>
                <w:lang w:val="ro-MD"/>
              </w:rPr>
              <w:t>1</w:t>
            </w:r>
            <w:r>
              <w:rPr>
                <w:rFonts w:ascii="Times New Roman" w:eastAsia="Times New Roman" w:hAnsi="Times New Roman" w:cs="Times New Roman"/>
                <w:lang w:val="ro-MD"/>
              </w:rPr>
              <w:t>7</w:t>
            </w:r>
            <w:r w:rsidRPr="009E4C4A">
              <w:rPr>
                <w:rFonts w:ascii="Times New Roman" w:eastAsia="Times New Roman" w:hAnsi="Times New Roman" w:cs="Times New Roman"/>
                <w:lang w:val="ro-MD"/>
              </w:rPr>
              <w:t>.</w:t>
            </w:r>
          </w:p>
        </w:tc>
        <w:tc>
          <w:tcPr>
            <w:tcW w:w="3091" w:type="dxa"/>
            <w:vMerge w:val="restart"/>
          </w:tcPr>
          <w:p w14:paraId="70D5F911" w14:textId="189F5667" w:rsidR="0093644A" w:rsidRPr="009E4C4A" w:rsidRDefault="0093644A" w:rsidP="005F14F9">
            <w:pPr>
              <w:tabs>
                <w:tab w:val="left" w:pos="851"/>
              </w:tabs>
              <w:jc w:val="both"/>
              <w:rPr>
                <w:rFonts w:ascii="Times New Roman" w:hAnsi="Times New Roman" w:cs="Times New Roman"/>
                <w:lang w:val="ro-MD"/>
              </w:rPr>
            </w:pPr>
            <w:r w:rsidRPr="009E4C4A">
              <w:rPr>
                <w:rFonts w:ascii="Times New Roman" w:hAnsi="Times New Roman" w:cs="Times New Roman"/>
                <w:lang w:val="ro-MD"/>
              </w:rPr>
              <w:t>Nu au propuneri și/sau obiecții.</w:t>
            </w:r>
          </w:p>
        </w:tc>
        <w:tc>
          <w:tcPr>
            <w:tcW w:w="3004" w:type="dxa"/>
            <w:vMerge w:val="restart"/>
          </w:tcPr>
          <w:p w14:paraId="5BC0F503" w14:textId="77777777" w:rsidR="0093644A" w:rsidRPr="009E4C4A" w:rsidRDefault="0093644A" w:rsidP="005F14F9">
            <w:pPr>
              <w:rPr>
                <w:rFonts w:ascii="Times New Roman" w:eastAsia="Times New Roman" w:hAnsi="Times New Roman" w:cs="Times New Roman"/>
                <w:b/>
                <w:lang w:val="ro-MD"/>
              </w:rPr>
            </w:pPr>
          </w:p>
        </w:tc>
      </w:tr>
      <w:tr w:rsidR="0093644A" w:rsidRPr="009E4C4A" w14:paraId="3EC1455D" w14:textId="77777777" w:rsidTr="00BB7B61">
        <w:trPr>
          <w:gridAfter w:val="1"/>
          <w:wAfter w:w="9" w:type="dxa"/>
        </w:trPr>
        <w:tc>
          <w:tcPr>
            <w:tcW w:w="5382" w:type="dxa"/>
          </w:tcPr>
          <w:p w14:paraId="3765BED1"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55562CD2" w14:textId="77777777" w:rsidR="0093644A" w:rsidRPr="009E4C4A" w:rsidRDefault="0093644A" w:rsidP="005F14F9">
            <w:pPr>
              <w:rPr>
                <w:rFonts w:ascii="Times New Roman" w:hAnsi="Times New Roman" w:cs="Times New Roman"/>
                <w:bCs/>
                <w:lang w:val="ro-MD"/>
              </w:rPr>
            </w:pPr>
            <w:r w:rsidRPr="009E4C4A">
              <w:rPr>
                <w:rFonts w:ascii="Times New Roman" w:hAnsi="Times New Roman" w:cs="Times New Roman"/>
                <w:bCs/>
                <w:lang w:val="ro-MD"/>
              </w:rPr>
              <w:t>Banca Comercială Română Chişinău S.A.</w:t>
            </w:r>
          </w:p>
        </w:tc>
        <w:tc>
          <w:tcPr>
            <w:tcW w:w="709" w:type="dxa"/>
            <w:vMerge/>
          </w:tcPr>
          <w:p w14:paraId="66024669" w14:textId="77777777" w:rsidR="0093644A" w:rsidRPr="009E4C4A" w:rsidRDefault="0093644A" w:rsidP="005F14F9">
            <w:pPr>
              <w:pStyle w:val="ListParagraph"/>
              <w:numPr>
                <w:ilvl w:val="0"/>
                <w:numId w:val="36"/>
              </w:numPr>
              <w:ind w:left="37" w:hanging="74"/>
              <w:jc w:val="center"/>
              <w:rPr>
                <w:rFonts w:ascii="Times New Roman" w:eastAsia="Times New Roman" w:hAnsi="Times New Roman" w:cs="Times New Roman"/>
                <w:lang w:val="ro-MD"/>
              </w:rPr>
            </w:pPr>
          </w:p>
        </w:tc>
        <w:tc>
          <w:tcPr>
            <w:tcW w:w="3091" w:type="dxa"/>
            <w:vMerge/>
          </w:tcPr>
          <w:p w14:paraId="005406FC" w14:textId="77777777" w:rsidR="0093644A" w:rsidRPr="009E4C4A" w:rsidRDefault="0093644A" w:rsidP="005F14F9">
            <w:pPr>
              <w:autoSpaceDE w:val="0"/>
              <w:autoSpaceDN w:val="0"/>
              <w:adjustRightInd w:val="0"/>
              <w:rPr>
                <w:rFonts w:ascii="Times New Roman" w:hAnsi="Times New Roman" w:cs="Times New Roman"/>
                <w:bCs/>
                <w:lang w:val="ro-MD"/>
              </w:rPr>
            </w:pPr>
          </w:p>
        </w:tc>
        <w:tc>
          <w:tcPr>
            <w:tcW w:w="3004" w:type="dxa"/>
            <w:vMerge/>
          </w:tcPr>
          <w:p w14:paraId="329CA70C" w14:textId="77777777" w:rsidR="0093644A" w:rsidRPr="009E4C4A" w:rsidRDefault="0093644A" w:rsidP="005F14F9">
            <w:pPr>
              <w:rPr>
                <w:rFonts w:ascii="Times New Roman" w:eastAsia="Times New Roman" w:hAnsi="Times New Roman" w:cs="Times New Roman"/>
                <w:b/>
                <w:lang w:val="ro-MD"/>
              </w:rPr>
            </w:pPr>
          </w:p>
        </w:tc>
      </w:tr>
      <w:tr w:rsidR="0093644A" w:rsidRPr="009E4C4A" w14:paraId="61A262C6" w14:textId="77777777" w:rsidTr="00BB7B61">
        <w:trPr>
          <w:gridAfter w:val="1"/>
          <w:wAfter w:w="9" w:type="dxa"/>
        </w:trPr>
        <w:tc>
          <w:tcPr>
            <w:tcW w:w="5382" w:type="dxa"/>
          </w:tcPr>
          <w:p w14:paraId="0F3491D9"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6ECBF44A" w14:textId="521FB3F9" w:rsidR="0093644A" w:rsidRPr="009E4C4A" w:rsidRDefault="0093644A" w:rsidP="005F14F9">
            <w:pPr>
              <w:rPr>
                <w:rFonts w:ascii="Times New Roman" w:hAnsi="Times New Roman" w:cs="Times New Roman"/>
                <w:bCs/>
                <w:lang w:val="ro-MD"/>
              </w:rPr>
            </w:pPr>
            <w:r w:rsidRPr="009E4C4A">
              <w:rPr>
                <w:rFonts w:ascii="Times New Roman" w:hAnsi="Times New Roman" w:cs="Times New Roman"/>
                <w:lang w:val="ro-MD"/>
              </w:rPr>
              <w:t>Consiliul Concurenței</w:t>
            </w:r>
          </w:p>
        </w:tc>
        <w:tc>
          <w:tcPr>
            <w:tcW w:w="709" w:type="dxa"/>
            <w:vMerge/>
          </w:tcPr>
          <w:p w14:paraId="2167BF82" w14:textId="77777777" w:rsidR="0093644A" w:rsidRPr="009E4C4A" w:rsidRDefault="0093644A" w:rsidP="005F14F9">
            <w:pPr>
              <w:pStyle w:val="ListParagraph"/>
              <w:numPr>
                <w:ilvl w:val="0"/>
                <w:numId w:val="36"/>
              </w:numPr>
              <w:ind w:left="37" w:hanging="74"/>
              <w:jc w:val="center"/>
              <w:rPr>
                <w:rFonts w:ascii="Times New Roman" w:eastAsia="Times New Roman" w:hAnsi="Times New Roman" w:cs="Times New Roman"/>
                <w:lang w:val="ro-MD"/>
              </w:rPr>
            </w:pPr>
          </w:p>
        </w:tc>
        <w:tc>
          <w:tcPr>
            <w:tcW w:w="3091" w:type="dxa"/>
            <w:vMerge/>
          </w:tcPr>
          <w:p w14:paraId="242AA530" w14:textId="77777777" w:rsidR="0093644A" w:rsidRPr="009E4C4A" w:rsidRDefault="0093644A" w:rsidP="005F14F9">
            <w:pPr>
              <w:autoSpaceDE w:val="0"/>
              <w:autoSpaceDN w:val="0"/>
              <w:adjustRightInd w:val="0"/>
              <w:rPr>
                <w:rFonts w:ascii="Times New Roman" w:hAnsi="Times New Roman" w:cs="Times New Roman"/>
                <w:bCs/>
                <w:lang w:val="ro-MD"/>
              </w:rPr>
            </w:pPr>
          </w:p>
        </w:tc>
        <w:tc>
          <w:tcPr>
            <w:tcW w:w="3004" w:type="dxa"/>
            <w:vMerge/>
          </w:tcPr>
          <w:p w14:paraId="130FD671" w14:textId="77777777" w:rsidR="0093644A" w:rsidRPr="009E4C4A" w:rsidRDefault="0093644A" w:rsidP="005F14F9">
            <w:pPr>
              <w:rPr>
                <w:rFonts w:ascii="Times New Roman" w:eastAsia="Times New Roman" w:hAnsi="Times New Roman" w:cs="Times New Roman"/>
                <w:b/>
                <w:lang w:val="ro-MD"/>
              </w:rPr>
            </w:pPr>
          </w:p>
        </w:tc>
      </w:tr>
      <w:tr w:rsidR="0093644A" w:rsidRPr="009E4C4A" w14:paraId="4AB5F01D" w14:textId="77777777" w:rsidTr="00BB7B61">
        <w:trPr>
          <w:gridAfter w:val="1"/>
          <w:wAfter w:w="9" w:type="dxa"/>
        </w:trPr>
        <w:tc>
          <w:tcPr>
            <w:tcW w:w="5382" w:type="dxa"/>
          </w:tcPr>
          <w:p w14:paraId="24931BA5"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3A983D3E" w14:textId="1BEB63B6" w:rsidR="0093644A" w:rsidRPr="009E4C4A" w:rsidRDefault="0093644A" w:rsidP="005F14F9">
            <w:pPr>
              <w:rPr>
                <w:rFonts w:ascii="Times New Roman" w:hAnsi="Times New Roman" w:cs="Times New Roman"/>
                <w:lang w:val="ro-MD"/>
              </w:rPr>
            </w:pPr>
            <w:r w:rsidRPr="009E4C4A">
              <w:rPr>
                <w:rFonts w:ascii="Times New Roman" w:hAnsi="Times New Roman" w:cs="Times New Roman"/>
                <w:lang w:val="ro-MD"/>
              </w:rPr>
              <w:t>OTP Bank S.A.</w:t>
            </w:r>
          </w:p>
        </w:tc>
        <w:tc>
          <w:tcPr>
            <w:tcW w:w="709" w:type="dxa"/>
            <w:vMerge w:val="restart"/>
          </w:tcPr>
          <w:p w14:paraId="7D72451E" w14:textId="471AB8C3" w:rsidR="0093644A" w:rsidRPr="009E4C4A" w:rsidRDefault="0093644A" w:rsidP="005F14F9">
            <w:pPr>
              <w:pStyle w:val="ListParagraph"/>
              <w:ind w:left="37"/>
              <w:rPr>
                <w:rFonts w:ascii="Times New Roman" w:eastAsia="Times New Roman" w:hAnsi="Times New Roman" w:cs="Times New Roman"/>
                <w:lang w:val="ro-MD"/>
              </w:rPr>
            </w:pPr>
            <w:r>
              <w:rPr>
                <w:rFonts w:ascii="Times New Roman" w:eastAsia="Times New Roman" w:hAnsi="Times New Roman" w:cs="Times New Roman"/>
                <w:lang w:val="ro-MD"/>
              </w:rPr>
              <w:t>18</w:t>
            </w:r>
            <w:r w:rsidRPr="009E4C4A">
              <w:rPr>
                <w:rFonts w:ascii="Times New Roman" w:eastAsia="Times New Roman" w:hAnsi="Times New Roman" w:cs="Times New Roman"/>
                <w:lang w:val="ro-MD"/>
              </w:rPr>
              <w:t>.</w:t>
            </w:r>
          </w:p>
        </w:tc>
        <w:tc>
          <w:tcPr>
            <w:tcW w:w="3091" w:type="dxa"/>
            <w:vMerge w:val="restart"/>
          </w:tcPr>
          <w:p w14:paraId="23D288AF" w14:textId="4648BCF9" w:rsidR="0093644A" w:rsidRPr="009E4C4A" w:rsidRDefault="0093644A" w:rsidP="005F14F9">
            <w:pPr>
              <w:autoSpaceDE w:val="0"/>
              <w:autoSpaceDN w:val="0"/>
              <w:adjustRightInd w:val="0"/>
              <w:rPr>
                <w:rFonts w:ascii="Times New Roman" w:hAnsi="Times New Roman" w:cs="Times New Roman"/>
                <w:lang w:val="ro-MD"/>
              </w:rPr>
            </w:pPr>
            <w:r w:rsidRPr="009E4C4A">
              <w:rPr>
                <w:rFonts w:ascii="Times New Roman" w:hAnsi="Times New Roman" w:cs="Times New Roman"/>
                <w:lang w:val="ro-MD"/>
              </w:rPr>
              <w:t>Nu au prezentat avize.</w:t>
            </w:r>
          </w:p>
        </w:tc>
        <w:tc>
          <w:tcPr>
            <w:tcW w:w="3004" w:type="dxa"/>
            <w:vMerge w:val="restart"/>
          </w:tcPr>
          <w:p w14:paraId="5ED273EB" w14:textId="77777777" w:rsidR="0093644A" w:rsidRPr="009E4C4A" w:rsidRDefault="0093644A" w:rsidP="005F14F9">
            <w:pPr>
              <w:rPr>
                <w:rFonts w:ascii="Times New Roman" w:eastAsia="Times New Roman" w:hAnsi="Times New Roman" w:cs="Times New Roman"/>
                <w:b/>
                <w:lang w:val="ro-MD"/>
              </w:rPr>
            </w:pPr>
          </w:p>
        </w:tc>
      </w:tr>
      <w:tr w:rsidR="0093644A" w:rsidRPr="009E4C4A" w14:paraId="253675C3" w14:textId="77777777" w:rsidTr="00BB7B61">
        <w:trPr>
          <w:gridAfter w:val="1"/>
          <w:wAfter w:w="9" w:type="dxa"/>
        </w:trPr>
        <w:tc>
          <w:tcPr>
            <w:tcW w:w="5382" w:type="dxa"/>
          </w:tcPr>
          <w:p w14:paraId="1B4E18DB"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1E1C4EA5" w14:textId="3AECAB44" w:rsidR="0093644A" w:rsidRPr="009E4C4A" w:rsidRDefault="0093644A" w:rsidP="005F14F9">
            <w:pPr>
              <w:rPr>
                <w:rFonts w:ascii="Times New Roman" w:hAnsi="Times New Roman" w:cs="Times New Roman"/>
                <w:lang w:val="ro-MD"/>
              </w:rPr>
            </w:pPr>
            <w:r w:rsidRPr="009E4C4A">
              <w:rPr>
                <w:rFonts w:ascii="Times New Roman" w:hAnsi="Times New Roman" w:cs="Times New Roman"/>
                <w:bCs/>
                <w:lang w:val="ro-MD"/>
              </w:rPr>
              <w:t>BC „Energbank” S.A.</w:t>
            </w:r>
          </w:p>
        </w:tc>
        <w:tc>
          <w:tcPr>
            <w:tcW w:w="709" w:type="dxa"/>
            <w:vMerge/>
          </w:tcPr>
          <w:p w14:paraId="3F01D58D" w14:textId="36940A7D" w:rsidR="0093644A" w:rsidRPr="009E4C4A" w:rsidRDefault="0093644A" w:rsidP="005F14F9">
            <w:pPr>
              <w:pStyle w:val="ListParagraph"/>
              <w:ind w:left="37"/>
              <w:rPr>
                <w:rFonts w:ascii="Times New Roman" w:eastAsia="Times New Roman" w:hAnsi="Times New Roman" w:cs="Times New Roman"/>
                <w:lang w:val="ro-MD"/>
              </w:rPr>
            </w:pPr>
          </w:p>
        </w:tc>
        <w:tc>
          <w:tcPr>
            <w:tcW w:w="3091" w:type="dxa"/>
            <w:vMerge/>
          </w:tcPr>
          <w:p w14:paraId="446A523F" w14:textId="4D9E2044" w:rsidR="0093644A" w:rsidRPr="009E4C4A" w:rsidRDefault="0093644A" w:rsidP="005F14F9">
            <w:pPr>
              <w:autoSpaceDE w:val="0"/>
              <w:autoSpaceDN w:val="0"/>
              <w:adjustRightInd w:val="0"/>
              <w:rPr>
                <w:rFonts w:ascii="Times New Roman" w:hAnsi="Times New Roman" w:cs="Times New Roman"/>
                <w:lang w:val="ro-MD"/>
              </w:rPr>
            </w:pPr>
          </w:p>
        </w:tc>
        <w:tc>
          <w:tcPr>
            <w:tcW w:w="3004" w:type="dxa"/>
            <w:vMerge/>
          </w:tcPr>
          <w:p w14:paraId="3DE2146D" w14:textId="77777777" w:rsidR="0093644A" w:rsidRPr="009E4C4A" w:rsidRDefault="0093644A" w:rsidP="005F14F9">
            <w:pPr>
              <w:rPr>
                <w:rFonts w:ascii="Times New Roman" w:eastAsia="Times New Roman" w:hAnsi="Times New Roman" w:cs="Times New Roman"/>
                <w:b/>
                <w:lang w:val="ro-MD"/>
              </w:rPr>
            </w:pPr>
          </w:p>
        </w:tc>
      </w:tr>
      <w:tr w:rsidR="0093644A" w:rsidRPr="009E4C4A" w14:paraId="27C829BE" w14:textId="77777777" w:rsidTr="00BB7B61">
        <w:trPr>
          <w:gridAfter w:val="1"/>
          <w:wAfter w:w="9" w:type="dxa"/>
        </w:trPr>
        <w:tc>
          <w:tcPr>
            <w:tcW w:w="5382" w:type="dxa"/>
          </w:tcPr>
          <w:p w14:paraId="5E0E90C0"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6FD408C3" w14:textId="4093056F" w:rsidR="0093644A" w:rsidRPr="009E4C4A" w:rsidRDefault="0093644A" w:rsidP="005F14F9">
            <w:pPr>
              <w:rPr>
                <w:rFonts w:ascii="Times New Roman" w:hAnsi="Times New Roman" w:cs="Times New Roman"/>
                <w:bCs/>
                <w:lang w:val="ro-MD"/>
              </w:rPr>
            </w:pPr>
            <w:r w:rsidRPr="009E4C4A">
              <w:rPr>
                <w:rFonts w:ascii="Times New Roman" w:hAnsi="Times New Roman" w:cs="Times New Roman"/>
                <w:lang w:val="ro-MD"/>
              </w:rPr>
              <w:t>„FinComBank” S.A.</w:t>
            </w:r>
          </w:p>
        </w:tc>
        <w:tc>
          <w:tcPr>
            <w:tcW w:w="709" w:type="dxa"/>
            <w:vMerge/>
          </w:tcPr>
          <w:p w14:paraId="34611A13" w14:textId="77777777" w:rsidR="0093644A" w:rsidRPr="009E4C4A" w:rsidRDefault="0093644A" w:rsidP="005F14F9">
            <w:pPr>
              <w:pStyle w:val="ListParagraph"/>
              <w:ind w:left="37"/>
              <w:rPr>
                <w:rFonts w:ascii="Times New Roman" w:eastAsia="Times New Roman" w:hAnsi="Times New Roman" w:cs="Times New Roman"/>
                <w:lang w:val="ro-MD"/>
              </w:rPr>
            </w:pPr>
          </w:p>
        </w:tc>
        <w:tc>
          <w:tcPr>
            <w:tcW w:w="3091" w:type="dxa"/>
            <w:vMerge/>
          </w:tcPr>
          <w:p w14:paraId="0C3220D9" w14:textId="77777777" w:rsidR="0093644A" w:rsidRPr="009E4C4A" w:rsidRDefault="0093644A" w:rsidP="005F14F9">
            <w:pPr>
              <w:autoSpaceDE w:val="0"/>
              <w:autoSpaceDN w:val="0"/>
              <w:adjustRightInd w:val="0"/>
              <w:rPr>
                <w:rFonts w:ascii="Times New Roman" w:hAnsi="Times New Roman" w:cs="Times New Roman"/>
                <w:lang w:val="ro-MD"/>
              </w:rPr>
            </w:pPr>
          </w:p>
        </w:tc>
        <w:tc>
          <w:tcPr>
            <w:tcW w:w="3004" w:type="dxa"/>
            <w:vMerge/>
          </w:tcPr>
          <w:p w14:paraId="7A22E56B" w14:textId="77777777" w:rsidR="0093644A" w:rsidRPr="009E4C4A" w:rsidRDefault="0093644A" w:rsidP="005F14F9">
            <w:pPr>
              <w:rPr>
                <w:rFonts w:ascii="Times New Roman" w:eastAsia="Times New Roman" w:hAnsi="Times New Roman" w:cs="Times New Roman"/>
                <w:b/>
                <w:lang w:val="ro-MD"/>
              </w:rPr>
            </w:pPr>
          </w:p>
        </w:tc>
      </w:tr>
      <w:tr w:rsidR="0093644A" w:rsidRPr="009E4C4A" w14:paraId="5F1B840E" w14:textId="77777777" w:rsidTr="00BB7B61">
        <w:trPr>
          <w:gridAfter w:val="1"/>
          <w:wAfter w:w="9" w:type="dxa"/>
        </w:trPr>
        <w:tc>
          <w:tcPr>
            <w:tcW w:w="5382" w:type="dxa"/>
          </w:tcPr>
          <w:p w14:paraId="2C7A5C21"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6D2D2F95" w14:textId="77777777" w:rsidR="0093644A" w:rsidRPr="009E4C4A" w:rsidRDefault="0093644A" w:rsidP="005F14F9">
            <w:pPr>
              <w:rPr>
                <w:rFonts w:ascii="Times New Roman" w:hAnsi="Times New Roman" w:cs="Times New Roman"/>
                <w:bCs/>
                <w:lang w:val="ro-MD"/>
              </w:rPr>
            </w:pPr>
            <w:r w:rsidRPr="009E4C4A">
              <w:rPr>
                <w:rFonts w:ascii="Times New Roman" w:hAnsi="Times New Roman" w:cs="Times New Roman"/>
                <w:bCs/>
                <w:lang w:val="ro-MD"/>
              </w:rPr>
              <w:t>BC „Eximbank” S.A.</w:t>
            </w:r>
          </w:p>
        </w:tc>
        <w:tc>
          <w:tcPr>
            <w:tcW w:w="709" w:type="dxa"/>
            <w:vMerge/>
          </w:tcPr>
          <w:p w14:paraId="79875FE9" w14:textId="01FC5856" w:rsidR="0093644A" w:rsidRPr="009E4C4A" w:rsidRDefault="0093644A" w:rsidP="005F14F9">
            <w:pPr>
              <w:pStyle w:val="ListParagraph"/>
              <w:ind w:left="37"/>
              <w:rPr>
                <w:rFonts w:ascii="Times New Roman" w:eastAsia="Times New Roman" w:hAnsi="Times New Roman" w:cs="Times New Roman"/>
                <w:lang w:val="ro-MD"/>
              </w:rPr>
            </w:pPr>
          </w:p>
        </w:tc>
        <w:tc>
          <w:tcPr>
            <w:tcW w:w="3091" w:type="dxa"/>
            <w:vMerge/>
          </w:tcPr>
          <w:p w14:paraId="5977665A" w14:textId="387D489A" w:rsidR="0093644A" w:rsidRPr="009E4C4A" w:rsidRDefault="0093644A" w:rsidP="005F14F9">
            <w:pPr>
              <w:autoSpaceDE w:val="0"/>
              <w:autoSpaceDN w:val="0"/>
              <w:adjustRightInd w:val="0"/>
              <w:rPr>
                <w:rFonts w:ascii="Times New Roman" w:hAnsi="Times New Roman" w:cs="Times New Roman"/>
                <w:lang w:val="ro-MD"/>
              </w:rPr>
            </w:pPr>
          </w:p>
        </w:tc>
        <w:tc>
          <w:tcPr>
            <w:tcW w:w="3004" w:type="dxa"/>
            <w:vMerge/>
          </w:tcPr>
          <w:p w14:paraId="549E7C83" w14:textId="77777777" w:rsidR="0093644A" w:rsidRPr="009E4C4A" w:rsidRDefault="0093644A" w:rsidP="005F14F9">
            <w:pPr>
              <w:rPr>
                <w:rFonts w:ascii="Times New Roman" w:eastAsia="Times New Roman" w:hAnsi="Times New Roman" w:cs="Times New Roman"/>
                <w:b/>
                <w:lang w:val="ro-MD"/>
              </w:rPr>
            </w:pPr>
          </w:p>
        </w:tc>
      </w:tr>
      <w:tr w:rsidR="0093644A" w:rsidRPr="009E4C4A" w14:paraId="350CDB0A" w14:textId="77777777" w:rsidTr="00BB7B61">
        <w:trPr>
          <w:gridAfter w:val="1"/>
          <w:wAfter w:w="9" w:type="dxa"/>
        </w:trPr>
        <w:tc>
          <w:tcPr>
            <w:tcW w:w="5382" w:type="dxa"/>
          </w:tcPr>
          <w:p w14:paraId="3DA5FE74"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241F7B2A" w14:textId="77777777" w:rsidR="0093644A" w:rsidRPr="009E4C4A" w:rsidRDefault="0093644A" w:rsidP="005F14F9">
            <w:pPr>
              <w:rPr>
                <w:rFonts w:ascii="Times New Roman" w:hAnsi="Times New Roman" w:cs="Times New Roman"/>
                <w:bCs/>
                <w:lang w:val="ro-MD"/>
              </w:rPr>
            </w:pPr>
            <w:r w:rsidRPr="009E4C4A">
              <w:rPr>
                <w:rFonts w:ascii="Times New Roman" w:hAnsi="Times New Roman" w:cs="Times New Roman"/>
                <w:bCs/>
                <w:lang w:val="ro-MD"/>
              </w:rPr>
              <w:t>BC „ProCredit Bank” S.A.</w:t>
            </w:r>
          </w:p>
        </w:tc>
        <w:tc>
          <w:tcPr>
            <w:tcW w:w="709" w:type="dxa"/>
            <w:vMerge/>
          </w:tcPr>
          <w:p w14:paraId="66C4B79F" w14:textId="77777777" w:rsidR="0093644A" w:rsidRPr="009E4C4A" w:rsidRDefault="0093644A" w:rsidP="005F14F9">
            <w:pPr>
              <w:pStyle w:val="ListParagraph"/>
              <w:numPr>
                <w:ilvl w:val="0"/>
                <w:numId w:val="36"/>
              </w:numPr>
              <w:ind w:left="37" w:hanging="74"/>
              <w:jc w:val="center"/>
              <w:rPr>
                <w:rFonts w:ascii="Times New Roman" w:eastAsia="Times New Roman" w:hAnsi="Times New Roman" w:cs="Times New Roman"/>
                <w:lang w:val="ro-MD"/>
              </w:rPr>
            </w:pPr>
          </w:p>
        </w:tc>
        <w:tc>
          <w:tcPr>
            <w:tcW w:w="3091" w:type="dxa"/>
            <w:vMerge/>
          </w:tcPr>
          <w:p w14:paraId="23C545E6" w14:textId="77777777" w:rsidR="0093644A" w:rsidRPr="009E4C4A" w:rsidRDefault="0093644A" w:rsidP="005F14F9">
            <w:pPr>
              <w:autoSpaceDE w:val="0"/>
              <w:autoSpaceDN w:val="0"/>
              <w:adjustRightInd w:val="0"/>
              <w:rPr>
                <w:rFonts w:ascii="Times New Roman" w:hAnsi="Times New Roman" w:cs="Times New Roman"/>
                <w:lang w:val="ro-MD"/>
              </w:rPr>
            </w:pPr>
          </w:p>
        </w:tc>
        <w:tc>
          <w:tcPr>
            <w:tcW w:w="3004" w:type="dxa"/>
            <w:vMerge/>
          </w:tcPr>
          <w:p w14:paraId="62175B0D" w14:textId="77777777" w:rsidR="0093644A" w:rsidRPr="009E4C4A" w:rsidRDefault="0093644A" w:rsidP="005F14F9">
            <w:pPr>
              <w:rPr>
                <w:rFonts w:ascii="Times New Roman" w:eastAsia="Times New Roman" w:hAnsi="Times New Roman" w:cs="Times New Roman"/>
                <w:b/>
                <w:lang w:val="ro-MD"/>
              </w:rPr>
            </w:pPr>
          </w:p>
        </w:tc>
      </w:tr>
      <w:tr w:rsidR="0093644A" w:rsidRPr="009E4C4A" w14:paraId="40B8383A" w14:textId="77777777" w:rsidTr="00BB7B61">
        <w:trPr>
          <w:gridAfter w:val="1"/>
          <w:wAfter w:w="9" w:type="dxa"/>
        </w:trPr>
        <w:tc>
          <w:tcPr>
            <w:tcW w:w="5382" w:type="dxa"/>
          </w:tcPr>
          <w:p w14:paraId="493BD5E4"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17895BB4" w14:textId="77777777" w:rsidR="0093644A" w:rsidRPr="009E4C4A" w:rsidRDefault="0093644A" w:rsidP="005F14F9">
            <w:pPr>
              <w:rPr>
                <w:rFonts w:ascii="Times New Roman" w:hAnsi="Times New Roman" w:cs="Times New Roman"/>
                <w:bCs/>
                <w:lang w:val="ro-MD"/>
              </w:rPr>
            </w:pPr>
            <w:r w:rsidRPr="009E4C4A">
              <w:rPr>
                <w:rFonts w:ascii="Times New Roman" w:hAnsi="Times New Roman" w:cs="Times New Roman"/>
                <w:bCs/>
                <w:lang w:val="ro-MD"/>
              </w:rPr>
              <w:t>BC „EuroCreditBank” S.A.</w:t>
            </w:r>
          </w:p>
        </w:tc>
        <w:tc>
          <w:tcPr>
            <w:tcW w:w="709" w:type="dxa"/>
            <w:vMerge/>
          </w:tcPr>
          <w:p w14:paraId="0B8FD3FF" w14:textId="77777777" w:rsidR="0093644A" w:rsidRPr="009E4C4A" w:rsidRDefault="0093644A" w:rsidP="005F14F9">
            <w:pPr>
              <w:pStyle w:val="ListParagraph"/>
              <w:numPr>
                <w:ilvl w:val="0"/>
                <w:numId w:val="36"/>
              </w:numPr>
              <w:ind w:left="37" w:hanging="74"/>
              <w:jc w:val="center"/>
              <w:rPr>
                <w:rFonts w:ascii="Times New Roman" w:eastAsia="Times New Roman" w:hAnsi="Times New Roman" w:cs="Times New Roman"/>
                <w:lang w:val="ro-MD"/>
              </w:rPr>
            </w:pPr>
          </w:p>
        </w:tc>
        <w:tc>
          <w:tcPr>
            <w:tcW w:w="3091" w:type="dxa"/>
            <w:vMerge/>
          </w:tcPr>
          <w:p w14:paraId="27C49BAE" w14:textId="77777777" w:rsidR="0093644A" w:rsidRPr="009E4C4A" w:rsidRDefault="0093644A" w:rsidP="005F14F9">
            <w:pPr>
              <w:autoSpaceDE w:val="0"/>
              <w:autoSpaceDN w:val="0"/>
              <w:adjustRightInd w:val="0"/>
              <w:rPr>
                <w:rFonts w:ascii="Times New Roman" w:hAnsi="Times New Roman" w:cs="Times New Roman"/>
                <w:lang w:val="ro-MD"/>
              </w:rPr>
            </w:pPr>
          </w:p>
        </w:tc>
        <w:tc>
          <w:tcPr>
            <w:tcW w:w="3004" w:type="dxa"/>
            <w:vMerge/>
          </w:tcPr>
          <w:p w14:paraId="3C9524F9" w14:textId="77777777" w:rsidR="0093644A" w:rsidRPr="009E4C4A" w:rsidRDefault="0093644A" w:rsidP="005F14F9">
            <w:pPr>
              <w:rPr>
                <w:rFonts w:ascii="Times New Roman" w:eastAsia="Times New Roman" w:hAnsi="Times New Roman" w:cs="Times New Roman"/>
                <w:b/>
                <w:lang w:val="ro-MD"/>
              </w:rPr>
            </w:pPr>
          </w:p>
        </w:tc>
      </w:tr>
      <w:tr w:rsidR="0093644A" w:rsidRPr="009E4C4A" w14:paraId="2C5A1128" w14:textId="77777777" w:rsidTr="00BB7B61">
        <w:trPr>
          <w:gridAfter w:val="1"/>
          <w:wAfter w:w="9" w:type="dxa"/>
        </w:trPr>
        <w:tc>
          <w:tcPr>
            <w:tcW w:w="5382" w:type="dxa"/>
          </w:tcPr>
          <w:p w14:paraId="7651E5C1"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3EE81167" w14:textId="77777777" w:rsidR="0093644A" w:rsidRPr="009E4C4A" w:rsidRDefault="0093644A" w:rsidP="005F14F9">
            <w:pPr>
              <w:rPr>
                <w:rFonts w:ascii="Times New Roman" w:hAnsi="Times New Roman" w:cs="Times New Roman"/>
                <w:lang w:val="ro-MD"/>
              </w:rPr>
            </w:pPr>
            <w:r w:rsidRPr="009E4C4A">
              <w:rPr>
                <w:rFonts w:ascii="Times New Roman" w:eastAsia="Times New Roman" w:hAnsi="Times New Roman" w:cs="Times New Roman"/>
                <w:lang w:val="ro-MD"/>
              </w:rPr>
              <w:t>BC „Comerțbank” S.A.</w:t>
            </w:r>
          </w:p>
        </w:tc>
        <w:tc>
          <w:tcPr>
            <w:tcW w:w="709" w:type="dxa"/>
            <w:vMerge/>
          </w:tcPr>
          <w:p w14:paraId="67F072A9" w14:textId="77777777" w:rsidR="0093644A" w:rsidRPr="009E4C4A" w:rsidRDefault="0093644A" w:rsidP="005F14F9">
            <w:pPr>
              <w:pStyle w:val="ListParagraph"/>
              <w:numPr>
                <w:ilvl w:val="0"/>
                <w:numId w:val="36"/>
              </w:numPr>
              <w:ind w:left="37" w:hanging="74"/>
              <w:jc w:val="center"/>
              <w:rPr>
                <w:rFonts w:ascii="Times New Roman" w:eastAsia="Times New Roman" w:hAnsi="Times New Roman" w:cs="Times New Roman"/>
                <w:lang w:val="ro-MD"/>
              </w:rPr>
            </w:pPr>
          </w:p>
        </w:tc>
        <w:tc>
          <w:tcPr>
            <w:tcW w:w="3091" w:type="dxa"/>
            <w:vMerge/>
          </w:tcPr>
          <w:p w14:paraId="0E6B99DC" w14:textId="77777777" w:rsidR="0093644A" w:rsidRPr="009E4C4A" w:rsidRDefault="0093644A" w:rsidP="005F14F9">
            <w:pPr>
              <w:autoSpaceDE w:val="0"/>
              <w:autoSpaceDN w:val="0"/>
              <w:adjustRightInd w:val="0"/>
              <w:rPr>
                <w:rFonts w:ascii="Times New Roman" w:hAnsi="Times New Roman" w:cs="Times New Roman"/>
                <w:lang w:val="ro-MD"/>
              </w:rPr>
            </w:pPr>
          </w:p>
        </w:tc>
        <w:tc>
          <w:tcPr>
            <w:tcW w:w="3004" w:type="dxa"/>
            <w:vMerge/>
          </w:tcPr>
          <w:p w14:paraId="50FA45F1" w14:textId="77777777" w:rsidR="0093644A" w:rsidRPr="009E4C4A" w:rsidRDefault="0093644A" w:rsidP="005F14F9">
            <w:pPr>
              <w:rPr>
                <w:rFonts w:ascii="Times New Roman" w:eastAsia="Times New Roman" w:hAnsi="Times New Roman" w:cs="Times New Roman"/>
                <w:b/>
                <w:lang w:val="ro-MD"/>
              </w:rPr>
            </w:pPr>
          </w:p>
        </w:tc>
      </w:tr>
      <w:tr w:rsidR="0093644A" w:rsidRPr="007B6A85" w14:paraId="73DEEC14" w14:textId="77777777" w:rsidTr="00BB7B61">
        <w:trPr>
          <w:gridAfter w:val="1"/>
          <w:wAfter w:w="9" w:type="dxa"/>
        </w:trPr>
        <w:tc>
          <w:tcPr>
            <w:tcW w:w="5382" w:type="dxa"/>
          </w:tcPr>
          <w:p w14:paraId="165106DF"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290CF440" w14:textId="77777777" w:rsidR="0093644A" w:rsidRPr="0093644A" w:rsidRDefault="0093644A" w:rsidP="0093644A">
            <w:pPr>
              <w:rPr>
                <w:rFonts w:ascii="Times New Roman" w:hAnsi="Times New Roman" w:cs="Times New Roman"/>
                <w:lang w:val="ro-MD"/>
              </w:rPr>
            </w:pPr>
            <w:r w:rsidRPr="0093644A">
              <w:rPr>
                <w:rFonts w:ascii="Times New Roman" w:hAnsi="Times New Roman" w:cs="Times New Roman"/>
                <w:lang w:val="ro-MD"/>
              </w:rPr>
              <w:t xml:space="preserve">Ministerul Dezvoltării </w:t>
            </w:r>
          </w:p>
          <w:p w14:paraId="3D815C99" w14:textId="710301D4" w:rsidR="0093644A" w:rsidRPr="009E4C4A" w:rsidRDefault="0093644A" w:rsidP="0093644A">
            <w:pPr>
              <w:rPr>
                <w:rFonts w:ascii="Times New Roman" w:hAnsi="Times New Roman" w:cs="Times New Roman"/>
                <w:lang w:val="ro-MD"/>
              </w:rPr>
            </w:pPr>
            <w:r w:rsidRPr="0093644A">
              <w:rPr>
                <w:rFonts w:ascii="Times New Roman" w:hAnsi="Times New Roman" w:cs="Times New Roman"/>
                <w:lang w:val="ro-MD"/>
              </w:rPr>
              <w:t>Economice și Digitalizării</w:t>
            </w:r>
          </w:p>
        </w:tc>
        <w:tc>
          <w:tcPr>
            <w:tcW w:w="709" w:type="dxa"/>
            <w:vMerge/>
          </w:tcPr>
          <w:p w14:paraId="26CA2D47" w14:textId="77777777" w:rsidR="0093644A" w:rsidRPr="009E4C4A" w:rsidRDefault="0093644A" w:rsidP="005F14F9">
            <w:pPr>
              <w:pStyle w:val="ListParagraph"/>
              <w:numPr>
                <w:ilvl w:val="0"/>
                <w:numId w:val="36"/>
              </w:numPr>
              <w:ind w:left="37" w:hanging="74"/>
              <w:jc w:val="center"/>
              <w:rPr>
                <w:rFonts w:ascii="Times New Roman" w:eastAsia="Times New Roman" w:hAnsi="Times New Roman" w:cs="Times New Roman"/>
                <w:lang w:val="ro-MD"/>
              </w:rPr>
            </w:pPr>
          </w:p>
        </w:tc>
        <w:tc>
          <w:tcPr>
            <w:tcW w:w="3091" w:type="dxa"/>
            <w:vMerge/>
          </w:tcPr>
          <w:p w14:paraId="3537D283" w14:textId="77777777" w:rsidR="0093644A" w:rsidRPr="007B6A85" w:rsidRDefault="0093644A" w:rsidP="005F14F9">
            <w:pPr>
              <w:autoSpaceDE w:val="0"/>
              <w:autoSpaceDN w:val="0"/>
              <w:adjustRightInd w:val="0"/>
              <w:rPr>
                <w:rFonts w:ascii="Times New Roman" w:hAnsi="Times New Roman" w:cs="Times New Roman"/>
                <w:lang w:val="ro-MD"/>
              </w:rPr>
            </w:pPr>
          </w:p>
        </w:tc>
        <w:tc>
          <w:tcPr>
            <w:tcW w:w="3004" w:type="dxa"/>
            <w:vMerge/>
          </w:tcPr>
          <w:p w14:paraId="3993BDA3" w14:textId="77777777" w:rsidR="0093644A" w:rsidRPr="007B6A85" w:rsidRDefault="0093644A" w:rsidP="005F14F9">
            <w:pPr>
              <w:rPr>
                <w:rFonts w:ascii="Times New Roman" w:eastAsia="Times New Roman" w:hAnsi="Times New Roman" w:cs="Times New Roman"/>
                <w:b/>
                <w:lang w:val="ro-MD"/>
              </w:rPr>
            </w:pPr>
          </w:p>
        </w:tc>
      </w:tr>
      <w:tr w:rsidR="0093644A" w:rsidRPr="007B6A85" w14:paraId="614AB174" w14:textId="77777777" w:rsidTr="00BB7B61">
        <w:trPr>
          <w:gridAfter w:val="1"/>
          <w:wAfter w:w="9" w:type="dxa"/>
        </w:trPr>
        <w:tc>
          <w:tcPr>
            <w:tcW w:w="5382" w:type="dxa"/>
          </w:tcPr>
          <w:p w14:paraId="2A64A281" w14:textId="77777777" w:rsidR="0093644A" w:rsidRPr="009E4C4A" w:rsidRDefault="0093644A" w:rsidP="005F14F9">
            <w:pPr>
              <w:jc w:val="center"/>
              <w:rPr>
                <w:rFonts w:ascii="Times New Roman" w:eastAsia="Times New Roman" w:hAnsi="Times New Roman" w:cs="Times New Roman"/>
                <w:lang w:val="ro-MD"/>
              </w:rPr>
            </w:pPr>
          </w:p>
        </w:tc>
        <w:tc>
          <w:tcPr>
            <w:tcW w:w="2557" w:type="dxa"/>
          </w:tcPr>
          <w:p w14:paraId="71BB0B52" w14:textId="1CB034A1" w:rsidR="0093644A" w:rsidRPr="009E4C4A" w:rsidRDefault="0093644A" w:rsidP="005F14F9">
            <w:pPr>
              <w:rPr>
                <w:rFonts w:ascii="Times New Roman" w:hAnsi="Times New Roman" w:cs="Times New Roman"/>
                <w:lang w:val="ro-MD"/>
              </w:rPr>
            </w:pPr>
            <w:r w:rsidRPr="0093644A">
              <w:rPr>
                <w:rFonts w:ascii="Times New Roman" w:hAnsi="Times New Roman" w:cs="Times New Roman"/>
                <w:lang w:val="ro-MD"/>
              </w:rPr>
              <w:t>Asociația Băncilor din Moldova</w:t>
            </w:r>
          </w:p>
        </w:tc>
        <w:tc>
          <w:tcPr>
            <w:tcW w:w="709" w:type="dxa"/>
            <w:vMerge/>
          </w:tcPr>
          <w:p w14:paraId="2FAE4E8A" w14:textId="77777777" w:rsidR="0093644A" w:rsidRPr="009E4C4A" w:rsidRDefault="0093644A" w:rsidP="005F14F9">
            <w:pPr>
              <w:pStyle w:val="ListParagraph"/>
              <w:numPr>
                <w:ilvl w:val="0"/>
                <w:numId w:val="36"/>
              </w:numPr>
              <w:ind w:left="37" w:hanging="74"/>
              <w:jc w:val="center"/>
              <w:rPr>
                <w:rFonts w:ascii="Times New Roman" w:eastAsia="Times New Roman" w:hAnsi="Times New Roman" w:cs="Times New Roman"/>
                <w:lang w:val="ro-MD"/>
              </w:rPr>
            </w:pPr>
          </w:p>
        </w:tc>
        <w:tc>
          <w:tcPr>
            <w:tcW w:w="3091" w:type="dxa"/>
            <w:vMerge/>
          </w:tcPr>
          <w:p w14:paraId="4D07C073" w14:textId="77777777" w:rsidR="0093644A" w:rsidRPr="007B6A85" w:rsidRDefault="0093644A" w:rsidP="005F14F9">
            <w:pPr>
              <w:autoSpaceDE w:val="0"/>
              <w:autoSpaceDN w:val="0"/>
              <w:adjustRightInd w:val="0"/>
              <w:rPr>
                <w:rFonts w:ascii="Times New Roman" w:hAnsi="Times New Roman" w:cs="Times New Roman"/>
                <w:lang w:val="ro-MD"/>
              </w:rPr>
            </w:pPr>
          </w:p>
        </w:tc>
        <w:tc>
          <w:tcPr>
            <w:tcW w:w="3004" w:type="dxa"/>
            <w:vMerge/>
          </w:tcPr>
          <w:p w14:paraId="3D6EDE15" w14:textId="77777777" w:rsidR="0093644A" w:rsidRPr="007B6A85" w:rsidRDefault="0093644A" w:rsidP="005F14F9">
            <w:pPr>
              <w:rPr>
                <w:rFonts w:ascii="Times New Roman" w:eastAsia="Times New Roman" w:hAnsi="Times New Roman" w:cs="Times New Roman"/>
                <w:b/>
                <w:lang w:val="ro-MD"/>
              </w:rPr>
            </w:pPr>
          </w:p>
        </w:tc>
      </w:tr>
    </w:tbl>
    <w:p w14:paraId="4A13C19D" w14:textId="77777777" w:rsidR="0079069A" w:rsidRPr="007B6A85" w:rsidRDefault="0079069A">
      <w:pPr>
        <w:rPr>
          <w:lang w:val="ro-MD"/>
        </w:rPr>
      </w:pPr>
    </w:p>
    <w:p w14:paraId="72F771BC" w14:textId="77777777" w:rsidR="0079069A" w:rsidRPr="007B6A85" w:rsidRDefault="0079069A" w:rsidP="0079069A">
      <w:pPr>
        <w:rPr>
          <w:lang w:val="ro-MD"/>
        </w:rPr>
      </w:pPr>
    </w:p>
    <w:p w14:paraId="19D32100" w14:textId="77777777" w:rsidR="0079069A" w:rsidRPr="007B6A85" w:rsidRDefault="0079069A" w:rsidP="0079069A">
      <w:pPr>
        <w:rPr>
          <w:lang w:val="ro-MD"/>
        </w:rPr>
      </w:pPr>
    </w:p>
    <w:p w14:paraId="53A5BF76" w14:textId="77777777" w:rsidR="003328F4" w:rsidRPr="007B6A85" w:rsidRDefault="003328F4" w:rsidP="0079069A">
      <w:pPr>
        <w:jc w:val="right"/>
        <w:rPr>
          <w:lang w:val="ro-MD"/>
        </w:rPr>
      </w:pPr>
    </w:p>
    <w:sectPr w:rsidR="003328F4" w:rsidRPr="007B6A85" w:rsidSect="009C554B">
      <w:headerReference w:type="even" r:id="rId11"/>
      <w:headerReference w:type="default" r:id="rId12"/>
      <w:footerReference w:type="even" r:id="rId13"/>
      <w:footerReference w:type="default" r:id="rId14"/>
      <w:headerReference w:type="first" r:id="rId15"/>
      <w:footerReference w:type="first" r:id="rId16"/>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1F85" w14:textId="77777777" w:rsidR="006C3A4F" w:rsidRDefault="006C3A4F" w:rsidP="00416174">
      <w:pPr>
        <w:spacing w:after="0" w:line="240" w:lineRule="auto"/>
      </w:pPr>
      <w:r>
        <w:separator/>
      </w:r>
    </w:p>
  </w:endnote>
  <w:endnote w:type="continuationSeparator" w:id="0">
    <w:p w14:paraId="1947E71D" w14:textId="77777777" w:rsidR="006C3A4F" w:rsidRDefault="006C3A4F" w:rsidP="0041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47CA" w14:textId="3649B1E7" w:rsidR="00AA079C" w:rsidRDefault="00AA079C" w:rsidP="00AA079C">
    <w:pPr>
      <w:pStyle w:val="Footer"/>
      <w:jc w:val="right"/>
      <w:rPr>
        <w:rFonts w:ascii="Times New Roman" w:hAnsi="Times New Roman" w:cs="Times New Roman"/>
      </w:rPr>
    </w:pPr>
  </w:p>
  <w:p w14:paraId="4E8D4A20" w14:textId="60D961D4" w:rsidR="00C75C1D" w:rsidRPr="0079069A" w:rsidRDefault="006C3A4F" w:rsidP="007A0DD0">
    <w:pPr>
      <w:pStyle w:val="Footer"/>
      <w:jc w:val="right"/>
      <w:rPr>
        <w:rFonts w:ascii="Times New Roman" w:hAnsi="Times New Roman" w:cs="Times New Roman"/>
      </w:rPr>
    </w:pPr>
    <w:sdt>
      <w:sdtPr>
        <w:rPr>
          <w:rFonts w:ascii="Times New Roman" w:hAnsi="Times New Roman" w:cs="Times New Roman"/>
        </w:rPr>
        <w:id w:val="1264348412"/>
        <w:docPartObj>
          <w:docPartGallery w:val="Page Numbers (Bottom of Page)"/>
          <w:docPartUnique/>
        </w:docPartObj>
      </w:sdtPr>
      <w:sdtEndPr>
        <w:rPr>
          <w:noProof/>
        </w:rPr>
      </w:sdtEndPr>
      <w:sdtContent>
        <w:r w:rsidR="00C75C1D" w:rsidRPr="00A54321">
          <w:rPr>
            <w:rFonts w:ascii="Times New Roman" w:hAnsi="Times New Roman" w:cs="Times New Roman"/>
          </w:rPr>
          <w:fldChar w:fldCharType="begin"/>
        </w:r>
        <w:r w:rsidR="00C75C1D" w:rsidRPr="00A54321">
          <w:rPr>
            <w:rFonts w:ascii="Times New Roman" w:hAnsi="Times New Roman" w:cs="Times New Roman"/>
          </w:rPr>
          <w:instrText xml:space="preserve"> PAGE   \* MERGEFORMAT </w:instrText>
        </w:r>
        <w:r w:rsidR="00C75C1D" w:rsidRPr="00A54321">
          <w:rPr>
            <w:rFonts w:ascii="Times New Roman" w:hAnsi="Times New Roman" w:cs="Times New Roman"/>
          </w:rPr>
          <w:fldChar w:fldCharType="separate"/>
        </w:r>
        <w:r w:rsidR="00AA079C">
          <w:rPr>
            <w:rFonts w:ascii="Times New Roman" w:hAnsi="Times New Roman" w:cs="Times New Roman"/>
            <w:noProof/>
          </w:rPr>
          <w:t>12</w:t>
        </w:r>
        <w:r w:rsidR="00C75C1D" w:rsidRPr="00A54321">
          <w:rPr>
            <w:rFonts w:ascii="Times New Roman" w:hAnsi="Times New Roman" w:cs="Times New Roman"/>
            <w:noProof/>
          </w:rPr>
          <w:fldChar w:fldCharType="end"/>
        </w:r>
      </w:sdtContent>
    </w:sdt>
  </w:p>
  <w:p w14:paraId="1D617BC7" w14:textId="77777777" w:rsidR="00C75C1D" w:rsidRDefault="00C75C1D" w:rsidP="0079069A">
    <w:pPr>
      <w:pStyle w:val="Footer"/>
    </w:pPr>
  </w:p>
  <w:p w14:paraId="3FD64614" w14:textId="77777777" w:rsidR="00C75C1D" w:rsidRDefault="00C7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E5E6" w14:textId="1A26D0E8" w:rsidR="00AA079C" w:rsidRDefault="00AA079C" w:rsidP="00AA079C">
    <w:pPr>
      <w:pStyle w:val="Footer"/>
      <w:jc w:val="right"/>
      <w:rPr>
        <w:rFonts w:ascii="Times New Roman" w:hAnsi="Times New Roman" w:cs="Times New Roman"/>
      </w:rPr>
    </w:pPr>
  </w:p>
  <w:p w14:paraId="5BB2FCC4" w14:textId="4B98BA7E" w:rsidR="00C75C1D" w:rsidRPr="0079069A" w:rsidRDefault="006C3A4F" w:rsidP="007A0DD0">
    <w:pPr>
      <w:pStyle w:val="Footer"/>
      <w:jc w:val="right"/>
      <w:rPr>
        <w:rFonts w:ascii="Times New Roman" w:hAnsi="Times New Roman" w:cs="Times New Roman"/>
      </w:rPr>
    </w:pPr>
    <w:sdt>
      <w:sdtPr>
        <w:rPr>
          <w:rFonts w:ascii="Times New Roman" w:hAnsi="Times New Roman" w:cs="Times New Roman"/>
        </w:rPr>
        <w:id w:val="534784116"/>
        <w:docPartObj>
          <w:docPartGallery w:val="Page Numbers (Bottom of Page)"/>
          <w:docPartUnique/>
        </w:docPartObj>
      </w:sdtPr>
      <w:sdtEndPr>
        <w:rPr>
          <w:noProof/>
        </w:rPr>
      </w:sdtEndPr>
      <w:sdtContent>
        <w:r w:rsidR="00C75C1D" w:rsidRPr="0079069A">
          <w:rPr>
            <w:rFonts w:ascii="Times New Roman" w:hAnsi="Times New Roman" w:cs="Times New Roman"/>
          </w:rPr>
          <w:fldChar w:fldCharType="begin"/>
        </w:r>
        <w:r w:rsidR="00C75C1D" w:rsidRPr="0079069A">
          <w:rPr>
            <w:rFonts w:ascii="Times New Roman" w:hAnsi="Times New Roman" w:cs="Times New Roman"/>
          </w:rPr>
          <w:instrText xml:space="preserve"> PAGE   \* MERGEFORMAT </w:instrText>
        </w:r>
        <w:r w:rsidR="00C75C1D" w:rsidRPr="0079069A">
          <w:rPr>
            <w:rFonts w:ascii="Times New Roman" w:hAnsi="Times New Roman" w:cs="Times New Roman"/>
          </w:rPr>
          <w:fldChar w:fldCharType="separate"/>
        </w:r>
        <w:r w:rsidR="00AA079C">
          <w:rPr>
            <w:rFonts w:ascii="Times New Roman" w:hAnsi="Times New Roman" w:cs="Times New Roman"/>
            <w:noProof/>
          </w:rPr>
          <w:t>1</w:t>
        </w:r>
        <w:r w:rsidR="00C75C1D" w:rsidRPr="0079069A">
          <w:rPr>
            <w:rFonts w:ascii="Times New Roman" w:hAnsi="Times New Roman" w:cs="Times New Roman"/>
            <w:noProof/>
          </w:rPr>
          <w:fldChar w:fldCharType="end"/>
        </w:r>
      </w:sdtContent>
    </w:sdt>
  </w:p>
  <w:p w14:paraId="7C97DAC5" w14:textId="77777777" w:rsidR="00C75C1D" w:rsidRDefault="00C75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91DB" w14:textId="77777777" w:rsidR="007A0DD0" w:rsidRDefault="007A0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C1F31" w14:textId="77777777" w:rsidR="006C3A4F" w:rsidRDefault="006C3A4F" w:rsidP="00416174">
      <w:pPr>
        <w:spacing w:after="0" w:line="240" w:lineRule="auto"/>
      </w:pPr>
      <w:r>
        <w:separator/>
      </w:r>
    </w:p>
  </w:footnote>
  <w:footnote w:type="continuationSeparator" w:id="0">
    <w:p w14:paraId="05A45FC2" w14:textId="77777777" w:rsidR="006C3A4F" w:rsidRDefault="006C3A4F" w:rsidP="0041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31D4" w14:textId="4F2B19AD" w:rsidR="00C75C1D" w:rsidRPr="007A0DD0" w:rsidRDefault="00C75C1D" w:rsidP="00AA079C">
    <w:pPr>
      <w:pStyle w:val="Header"/>
      <w:jc w:val="right"/>
      <w:rPr>
        <w:rFonts w:ascii="Times New Roman" w:hAnsi="Times New Roman" w:cs="Times New Roman"/>
        <w:b/>
        <w:sz w:val="24"/>
        <w:szCs w:val="24"/>
      </w:rPr>
    </w:pPr>
  </w:p>
  <w:p w14:paraId="3F716A82" w14:textId="77777777" w:rsidR="00C75C1D" w:rsidRPr="007A0DD0" w:rsidRDefault="00C75C1D">
    <w:pPr>
      <w:pStyle w:val="Header"/>
      <w:rPr>
        <w:rFonts w:ascii="Times New Roman" w:hAnsi="Times New Roman" w:cs="Times New Roman"/>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26EC1" w14:textId="7DC93748" w:rsidR="007A0DD0" w:rsidRPr="007A0DD0" w:rsidRDefault="007A0DD0" w:rsidP="00AA079C">
    <w:pPr>
      <w:pStyle w:val="Header"/>
      <w:jc w:val="right"/>
      <w:rPr>
        <w:rFonts w:ascii="Times New Roman" w:hAnsi="Times New Roman" w:cs="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893C" w14:textId="77777777" w:rsidR="007A0DD0" w:rsidRDefault="007A0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F2"/>
    <w:multiLevelType w:val="hybridMultilevel"/>
    <w:tmpl w:val="09123478"/>
    <w:lvl w:ilvl="0" w:tplc="3E9A2A02">
      <w:start w:val="5"/>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6FB6871"/>
    <w:multiLevelType w:val="hybridMultilevel"/>
    <w:tmpl w:val="14A67082"/>
    <w:lvl w:ilvl="0" w:tplc="0409000F">
      <w:start w:val="24"/>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15:restartNumberingAfterBreak="0">
    <w:nsid w:val="08456402"/>
    <w:multiLevelType w:val="hybridMultilevel"/>
    <w:tmpl w:val="6AFA5B2C"/>
    <w:lvl w:ilvl="0" w:tplc="0D76D498">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272E1"/>
    <w:multiLevelType w:val="hybridMultilevel"/>
    <w:tmpl w:val="FCD88DC4"/>
    <w:lvl w:ilvl="0" w:tplc="26807FAA">
      <w:start w:val="6"/>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F027C"/>
    <w:multiLevelType w:val="hybridMultilevel"/>
    <w:tmpl w:val="55C6E0B6"/>
    <w:lvl w:ilvl="0" w:tplc="5B006E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61C6A"/>
    <w:multiLevelType w:val="hybridMultilevel"/>
    <w:tmpl w:val="186653E8"/>
    <w:lvl w:ilvl="0" w:tplc="403EF104">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14D19"/>
    <w:multiLevelType w:val="hybridMultilevel"/>
    <w:tmpl w:val="FEC2E7C0"/>
    <w:lvl w:ilvl="0" w:tplc="63F060C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A15AC4"/>
    <w:multiLevelType w:val="hybridMultilevel"/>
    <w:tmpl w:val="A1BAD982"/>
    <w:lvl w:ilvl="0" w:tplc="ECEE0C32">
      <w:start w:val="1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F0766"/>
    <w:multiLevelType w:val="hybridMultilevel"/>
    <w:tmpl w:val="A3D00170"/>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26F50"/>
    <w:multiLevelType w:val="hybridMultilevel"/>
    <w:tmpl w:val="9DDEC3D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F67675D"/>
    <w:multiLevelType w:val="hybridMultilevel"/>
    <w:tmpl w:val="3CD2D94E"/>
    <w:lvl w:ilvl="0" w:tplc="0A42F5B4">
      <w:start w:val="3"/>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C17CC"/>
    <w:multiLevelType w:val="hybridMultilevel"/>
    <w:tmpl w:val="0A12D4FA"/>
    <w:lvl w:ilvl="0" w:tplc="3C78543E">
      <w:start w:val="2"/>
      <w:numFmt w:val="decimal"/>
      <w:lvlText w:val="%1."/>
      <w:lvlJc w:val="left"/>
      <w:pPr>
        <w:ind w:left="1767" w:hanging="360"/>
      </w:pPr>
      <w:rPr>
        <w:rFonts w:hint="default"/>
        <w:b/>
      </w:r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12" w15:restartNumberingAfterBreak="0">
    <w:nsid w:val="21EC034C"/>
    <w:multiLevelType w:val="hybridMultilevel"/>
    <w:tmpl w:val="985EDBC0"/>
    <w:lvl w:ilvl="0" w:tplc="49F0EE04">
      <w:start w:val="1"/>
      <w:numFmt w:val="low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803D59"/>
    <w:multiLevelType w:val="hybridMultilevel"/>
    <w:tmpl w:val="72FC8FCA"/>
    <w:lvl w:ilvl="0" w:tplc="ABAA243E">
      <w:start w:val="15"/>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D6F42"/>
    <w:multiLevelType w:val="hybridMultilevel"/>
    <w:tmpl w:val="0F90716C"/>
    <w:lvl w:ilvl="0" w:tplc="8FB464F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D0DE1"/>
    <w:multiLevelType w:val="hybridMultilevel"/>
    <w:tmpl w:val="FABA7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F0E69"/>
    <w:multiLevelType w:val="hybridMultilevel"/>
    <w:tmpl w:val="182E1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F2694"/>
    <w:multiLevelType w:val="hybridMultilevel"/>
    <w:tmpl w:val="8902A48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405AC"/>
    <w:multiLevelType w:val="hybridMultilevel"/>
    <w:tmpl w:val="9F26D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C6C02"/>
    <w:multiLevelType w:val="hybridMultilevel"/>
    <w:tmpl w:val="09D0B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D6ACE"/>
    <w:multiLevelType w:val="hybridMultilevel"/>
    <w:tmpl w:val="9FDE7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C866F0"/>
    <w:multiLevelType w:val="hybridMultilevel"/>
    <w:tmpl w:val="AB267F10"/>
    <w:lvl w:ilvl="0" w:tplc="F4EA7792">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46736087"/>
    <w:multiLevelType w:val="hybridMultilevel"/>
    <w:tmpl w:val="7B3AC48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9D3C25"/>
    <w:multiLevelType w:val="hybridMultilevel"/>
    <w:tmpl w:val="4CF83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570C7"/>
    <w:multiLevelType w:val="hybridMultilevel"/>
    <w:tmpl w:val="730C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446B6"/>
    <w:multiLevelType w:val="hybridMultilevel"/>
    <w:tmpl w:val="00D8BC56"/>
    <w:lvl w:ilvl="0" w:tplc="2268357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637E4"/>
    <w:multiLevelType w:val="hybridMultilevel"/>
    <w:tmpl w:val="E14019C0"/>
    <w:lvl w:ilvl="0" w:tplc="3C308FB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25C4C"/>
    <w:multiLevelType w:val="hybridMultilevel"/>
    <w:tmpl w:val="01DA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44EC2"/>
    <w:multiLevelType w:val="hybridMultilevel"/>
    <w:tmpl w:val="9398B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53B92"/>
    <w:multiLevelType w:val="hybridMultilevel"/>
    <w:tmpl w:val="27AA13CE"/>
    <w:lvl w:ilvl="0" w:tplc="642446E4">
      <w:start w:val="2524"/>
      <w:numFmt w:val="decimal"/>
      <w:lvlText w:val="%1"/>
      <w:lvlJc w:val="left"/>
      <w:pPr>
        <w:ind w:left="930" w:hanging="48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29D6616"/>
    <w:multiLevelType w:val="hybridMultilevel"/>
    <w:tmpl w:val="7A9068DA"/>
    <w:lvl w:ilvl="0" w:tplc="B18862CA">
      <w:start w:val="1"/>
      <w:numFmt w:val="decimal"/>
      <w:lvlText w:val="%1."/>
      <w:lvlJc w:val="left"/>
      <w:pPr>
        <w:tabs>
          <w:tab w:val="num" w:pos="720"/>
        </w:tabs>
        <w:ind w:left="720" w:hanging="360"/>
      </w:pPr>
      <w:rPr>
        <w:rFonts w:ascii="Times New Roman" w:eastAsia="Times New Roman" w:hAnsi="Times New Roman" w:cs="Times New Roman"/>
        <w:i w:val="0"/>
      </w:rPr>
    </w:lvl>
    <w:lvl w:ilvl="1" w:tplc="7D968A18">
      <w:start w:val="1"/>
      <w:numFmt w:val="decimal"/>
      <w:lvlText w:val="%2)"/>
      <w:lvlJc w:val="left"/>
      <w:pPr>
        <w:tabs>
          <w:tab w:val="num" w:pos="1620"/>
        </w:tabs>
        <w:ind w:left="162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DCC27CD8">
      <w:start w:val="1"/>
      <w:numFmt w:val="decimal"/>
      <w:lvlText w:val="%5)"/>
      <w:lvlJc w:val="left"/>
      <w:pPr>
        <w:ind w:left="3600" w:hanging="360"/>
      </w:pPr>
      <w:rPr>
        <w:rFonts w:ascii="Times New Roman" w:eastAsia="Calibri" w:hAnsi="Times New Roman" w:cs="Times New Roman"/>
        <w:b w:val="0"/>
        <w:color w:val="auto"/>
      </w:rPr>
    </w:lvl>
    <w:lvl w:ilvl="5" w:tplc="51465B46">
      <w:start w:val="1"/>
      <w:numFmt w:val="bullet"/>
      <w:lvlText w:val="-"/>
      <w:lvlJc w:val="left"/>
      <w:pPr>
        <w:ind w:left="6314" w:hanging="360"/>
      </w:pPr>
      <w:rPr>
        <w:rFonts w:ascii="Times New Roman" w:eastAsia="Times New Roman" w:hAnsi="Times New Roman" w:cs="Times New Roman"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B8E019F"/>
    <w:multiLevelType w:val="hybridMultilevel"/>
    <w:tmpl w:val="47F88482"/>
    <w:lvl w:ilvl="0" w:tplc="F40ACDDA">
      <w:start w:val="1"/>
      <w:numFmt w:val="decimal"/>
      <w:lvlText w:val="%1."/>
      <w:lvlJc w:val="left"/>
      <w:pPr>
        <w:ind w:left="344" w:hanging="360"/>
      </w:pPr>
      <w:rPr>
        <w:rFonts w:ascii="Times New Roman" w:hAnsi="Times New Roman" w:hint="default"/>
        <w:b/>
        <w:sz w:val="24"/>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32" w15:restartNumberingAfterBreak="0">
    <w:nsid w:val="6CF77E67"/>
    <w:multiLevelType w:val="hybridMultilevel"/>
    <w:tmpl w:val="92C4DF0A"/>
    <w:lvl w:ilvl="0" w:tplc="016247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2563B"/>
    <w:multiLevelType w:val="hybridMultilevel"/>
    <w:tmpl w:val="C77A12F0"/>
    <w:lvl w:ilvl="0" w:tplc="9F4ED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93C2D"/>
    <w:multiLevelType w:val="hybridMultilevel"/>
    <w:tmpl w:val="58FE88CE"/>
    <w:lvl w:ilvl="0" w:tplc="A7166ED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5BA3C8C"/>
    <w:multiLevelType w:val="hybridMultilevel"/>
    <w:tmpl w:val="7174D3E6"/>
    <w:lvl w:ilvl="0" w:tplc="7EC48A1A">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C61AB5"/>
    <w:multiLevelType w:val="hybridMultilevel"/>
    <w:tmpl w:val="EEFCE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60E7F"/>
    <w:multiLevelType w:val="hybridMultilevel"/>
    <w:tmpl w:val="42D43166"/>
    <w:lvl w:ilvl="0" w:tplc="46046544">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306F40"/>
    <w:multiLevelType w:val="hybridMultilevel"/>
    <w:tmpl w:val="E678509C"/>
    <w:lvl w:ilvl="0" w:tplc="08180017">
      <w:start w:val="3"/>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4"/>
  </w:num>
  <w:num w:numId="2">
    <w:abstractNumId w:val="0"/>
  </w:num>
  <w:num w:numId="3">
    <w:abstractNumId w:val="26"/>
  </w:num>
  <w:num w:numId="4">
    <w:abstractNumId w:val="6"/>
  </w:num>
  <w:num w:numId="5">
    <w:abstractNumId w:val="20"/>
  </w:num>
  <w:num w:numId="6">
    <w:abstractNumId w:val="11"/>
  </w:num>
  <w:num w:numId="7">
    <w:abstractNumId w:val="7"/>
  </w:num>
  <w:num w:numId="8">
    <w:abstractNumId w:val="19"/>
  </w:num>
  <w:num w:numId="9">
    <w:abstractNumId w:val="10"/>
  </w:num>
  <w:num w:numId="10">
    <w:abstractNumId w:val="21"/>
  </w:num>
  <w:num w:numId="11">
    <w:abstractNumId w:val="15"/>
  </w:num>
  <w:num w:numId="12">
    <w:abstractNumId w:val="13"/>
  </w:num>
  <w:num w:numId="13">
    <w:abstractNumId w:val="29"/>
  </w:num>
  <w:num w:numId="14">
    <w:abstractNumId w:val="3"/>
  </w:num>
  <w:num w:numId="15">
    <w:abstractNumId w:val="27"/>
  </w:num>
  <w:num w:numId="16">
    <w:abstractNumId w:val="33"/>
  </w:num>
  <w:num w:numId="17">
    <w:abstractNumId w:val="28"/>
  </w:num>
  <w:num w:numId="18">
    <w:abstractNumId w:val="25"/>
  </w:num>
  <w:num w:numId="19">
    <w:abstractNumId w:val="12"/>
  </w:num>
  <w:num w:numId="20">
    <w:abstractNumId w:val="32"/>
  </w:num>
  <w:num w:numId="21">
    <w:abstractNumId w:val="36"/>
  </w:num>
  <w:num w:numId="22">
    <w:abstractNumId w:val="5"/>
  </w:num>
  <w:num w:numId="23">
    <w:abstractNumId w:val="31"/>
  </w:num>
  <w:num w:numId="24">
    <w:abstractNumId w:val="17"/>
  </w:num>
  <w:num w:numId="25">
    <w:abstractNumId w:val="8"/>
  </w:num>
  <w:num w:numId="26">
    <w:abstractNumId w:val="18"/>
  </w:num>
  <w:num w:numId="27">
    <w:abstractNumId w:val="16"/>
  </w:num>
  <w:num w:numId="28">
    <w:abstractNumId w:val="23"/>
  </w:num>
  <w:num w:numId="29">
    <w:abstractNumId w:val="14"/>
  </w:num>
  <w:num w:numId="30">
    <w:abstractNumId w:val="4"/>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
  </w:num>
  <w:num w:numId="35">
    <w:abstractNumId w:val="24"/>
  </w:num>
  <w:num w:numId="36">
    <w:abstractNumId w:val="1"/>
  </w:num>
  <w:num w:numId="37">
    <w:abstractNumId w:val="35"/>
  </w:num>
  <w:num w:numId="38">
    <w:abstractNumId w:val="9"/>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61"/>
    <w:rsid w:val="00001130"/>
    <w:rsid w:val="00012964"/>
    <w:rsid w:val="000369DA"/>
    <w:rsid w:val="0004542B"/>
    <w:rsid w:val="000476EC"/>
    <w:rsid w:val="0005546B"/>
    <w:rsid w:val="00064F49"/>
    <w:rsid w:val="00071019"/>
    <w:rsid w:val="00072466"/>
    <w:rsid w:val="00073A6D"/>
    <w:rsid w:val="0007425C"/>
    <w:rsid w:val="0008271B"/>
    <w:rsid w:val="00085F8C"/>
    <w:rsid w:val="000A1ED4"/>
    <w:rsid w:val="000B1102"/>
    <w:rsid w:val="000B2C4F"/>
    <w:rsid w:val="000B4832"/>
    <w:rsid w:val="000B75BB"/>
    <w:rsid w:val="000C294F"/>
    <w:rsid w:val="000C56D0"/>
    <w:rsid w:val="000D2A31"/>
    <w:rsid w:val="000D4A61"/>
    <w:rsid w:val="000D7479"/>
    <w:rsid w:val="000E11C7"/>
    <w:rsid w:val="000E444B"/>
    <w:rsid w:val="000E4825"/>
    <w:rsid w:val="000F1903"/>
    <w:rsid w:val="000F5697"/>
    <w:rsid w:val="001048CF"/>
    <w:rsid w:val="00106087"/>
    <w:rsid w:val="00110F7F"/>
    <w:rsid w:val="001113BB"/>
    <w:rsid w:val="0011267C"/>
    <w:rsid w:val="001138C0"/>
    <w:rsid w:val="0012119F"/>
    <w:rsid w:val="00121B6F"/>
    <w:rsid w:val="00125EB7"/>
    <w:rsid w:val="00137524"/>
    <w:rsid w:val="001379AD"/>
    <w:rsid w:val="00137ED3"/>
    <w:rsid w:val="00141138"/>
    <w:rsid w:val="001428F2"/>
    <w:rsid w:val="001429C0"/>
    <w:rsid w:val="0014530A"/>
    <w:rsid w:val="001472C2"/>
    <w:rsid w:val="001479E9"/>
    <w:rsid w:val="00150AD4"/>
    <w:rsid w:val="00153A70"/>
    <w:rsid w:val="00162E71"/>
    <w:rsid w:val="001669A9"/>
    <w:rsid w:val="001772B0"/>
    <w:rsid w:val="001820EA"/>
    <w:rsid w:val="001873E9"/>
    <w:rsid w:val="00191246"/>
    <w:rsid w:val="00191A69"/>
    <w:rsid w:val="001A12C6"/>
    <w:rsid w:val="001A723F"/>
    <w:rsid w:val="001B3520"/>
    <w:rsid w:val="001C3E84"/>
    <w:rsid w:val="001C41FF"/>
    <w:rsid w:val="001C5B1F"/>
    <w:rsid w:val="001C6A97"/>
    <w:rsid w:val="001C737D"/>
    <w:rsid w:val="001D4390"/>
    <w:rsid w:val="001D4C36"/>
    <w:rsid w:val="001D5E0C"/>
    <w:rsid w:val="001E332C"/>
    <w:rsid w:val="001E3531"/>
    <w:rsid w:val="001E3B4E"/>
    <w:rsid w:val="001E3DD5"/>
    <w:rsid w:val="001F0EEB"/>
    <w:rsid w:val="001F1EF4"/>
    <w:rsid w:val="001F5596"/>
    <w:rsid w:val="001F7C0E"/>
    <w:rsid w:val="00201500"/>
    <w:rsid w:val="00201764"/>
    <w:rsid w:val="00211660"/>
    <w:rsid w:val="00223BE7"/>
    <w:rsid w:val="0023236B"/>
    <w:rsid w:val="002345C1"/>
    <w:rsid w:val="002355DA"/>
    <w:rsid w:val="00244E7C"/>
    <w:rsid w:val="0025166A"/>
    <w:rsid w:val="002517F7"/>
    <w:rsid w:val="002549B3"/>
    <w:rsid w:val="002649A2"/>
    <w:rsid w:val="00267E1E"/>
    <w:rsid w:val="00274462"/>
    <w:rsid w:val="00275558"/>
    <w:rsid w:val="00277D44"/>
    <w:rsid w:val="00277DC4"/>
    <w:rsid w:val="00280239"/>
    <w:rsid w:val="002853D1"/>
    <w:rsid w:val="002854DE"/>
    <w:rsid w:val="00286600"/>
    <w:rsid w:val="002A06F5"/>
    <w:rsid w:val="002A2F7D"/>
    <w:rsid w:val="002A352A"/>
    <w:rsid w:val="002A3AA1"/>
    <w:rsid w:val="002A55FD"/>
    <w:rsid w:val="002A650F"/>
    <w:rsid w:val="002A71DE"/>
    <w:rsid w:val="002B0052"/>
    <w:rsid w:val="002B0EAB"/>
    <w:rsid w:val="002B1907"/>
    <w:rsid w:val="002B67E7"/>
    <w:rsid w:val="002B6ECE"/>
    <w:rsid w:val="002C00D2"/>
    <w:rsid w:val="002C16BD"/>
    <w:rsid w:val="002C3064"/>
    <w:rsid w:val="002C5A04"/>
    <w:rsid w:val="002D139F"/>
    <w:rsid w:val="002D5BB1"/>
    <w:rsid w:val="002E4AA5"/>
    <w:rsid w:val="002F38C2"/>
    <w:rsid w:val="003005B2"/>
    <w:rsid w:val="00301F20"/>
    <w:rsid w:val="003061F8"/>
    <w:rsid w:val="00306BBE"/>
    <w:rsid w:val="00316C0C"/>
    <w:rsid w:val="003222A9"/>
    <w:rsid w:val="003244FD"/>
    <w:rsid w:val="00325B8F"/>
    <w:rsid w:val="003328F4"/>
    <w:rsid w:val="00335A21"/>
    <w:rsid w:val="00337ECD"/>
    <w:rsid w:val="00340D83"/>
    <w:rsid w:val="0035351E"/>
    <w:rsid w:val="00356703"/>
    <w:rsid w:val="0036117B"/>
    <w:rsid w:val="00363064"/>
    <w:rsid w:val="00363137"/>
    <w:rsid w:val="00365A3F"/>
    <w:rsid w:val="0037505A"/>
    <w:rsid w:val="00387B3D"/>
    <w:rsid w:val="00387B49"/>
    <w:rsid w:val="0039198E"/>
    <w:rsid w:val="003A2ED5"/>
    <w:rsid w:val="003A5751"/>
    <w:rsid w:val="003A7504"/>
    <w:rsid w:val="003B0E64"/>
    <w:rsid w:val="003B2449"/>
    <w:rsid w:val="003B47F5"/>
    <w:rsid w:val="003B4B37"/>
    <w:rsid w:val="003B68D2"/>
    <w:rsid w:val="003B749F"/>
    <w:rsid w:val="003B7624"/>
    <w:rsid w:val="003C1C6E"/>
    <w:rsid w:val="003C1EB7"/>
    <w:rsid w:val="003C4185"/>
    <w:rsid w:val="003C6EC2"/>
    <w:rsid w:val="003D0F49"/>
    <w:rsid w:val="003D282C"/>
    <w:rsid w:val="003D49CD"/>
    <w:rsid w:val="003E1626"/>
    <w:rsid w:val="0040019B"/>
    <w:rsid w:val="004040FB"/>
    <w:rsid w:val="0040421C"/>
    <w:rsid w:val="00412023"/>
    <w:rsid w:val="00414222"/>
    <w:rsid w:val="00416174"/>
    <w:rsid w:val="00423EA6"/>
    <w:rsid w:val="00424AE3"/>
    <w:rsid w:val="00424B17"/>
    <w:rsid w:val="00426FAD"/>
    <w:rsid w:val="00434C0D"/>
    <w:rsid w:val="0045048A"/>
    <w:rsid w:val="0047548C"/>
    <w:rsid w:val="004758DF"/>
    <w:rsid w:val="004821A2"/>
    <w:rsid w:val="00482B81"/>
    <w:rsid w:val="004A233F"/>
    <w:rsid w:val="004A7C2D"/>
    <w:rsid w:val="004A7E44"/>
    <w:rsid w:val="004B550C"/>
    <w:rsid w:val="004B5624"/>
    <w:rsid w:val="004D7D3B"/>
    <w:rsid w:val="004E469C"/>
    <w:rsid w:val="004F6251"/>
    <w:rsid w:val="005002EB"/>
    <w:rsid w:val="00505B02"/>
    <w:rsid w:val="0050689B"/>
    <w:rsid w:val="0051027F"/>
    <w:rsid w:val="00511D07"/>
    <w:rsid w:val="005128E1"/>
    <w:rsid w:val="00513617"/>
    <w:rsid w:val="005217ED"/>
    <w:rsid w:val="00527F9D"/>
    <w:rsid w:val="00540462"/>
    <w:rsid w:val="00545054"/>
    <w:rsid w:val="00546D18"/>
    <w:rsid w:val="00552232"/>
    <w:rsid w:val="005652D5"/>
    <w:rsid w:val="00565470"/>
    <w:rsid w:val="00574F7D"/>
    <w:rsid w:val="005764C5"/>
    <w:rsid w:val="00583394"/>
    <w:rsid w:val="00583A26"/>
    <w:rsid w:val="00585673"/>
    <w:rsid w:val="00587EDC"/>
    <w:rsid w:val="005900DA"/>
    <w:rsid w:val="005A487F"/>
    <w:rsid w:val="005A79E0"/>
    <w:rsid w:val="005B526D"/>
    <w:rsid w:val="005B69EA"/>
    <w:rsid w:val="005C0202"/>
    <w:rsid w:val="005C124C"/>
    <w:rsid w:val="005D0790"/>
    <w:rsid w:val="005D0E6D"/>
    <w:rsid w:val="005D3CDC"/>
    <w:rsid w:val="005E4C74"/>
    <w:rsid w:val="005E71C1"/>
    <w:rsid w:val="005F14F9"/>
    <w:rsid w:val="005F2DAA"/>
    <w:rsid w:val="005F459E"/>
    <w:rsid w:val="005F5CC3"/>
    <w:rsid w:val="005F7223"/>
    <w:rsid w:val="005F7513"/>
    <w:rsid w:val="00604345"/>
    <w:rsid w:val="00605833"/>
    <w:rsid w:val="006146FB"/>
    <w:rsid w:val="00617D6A"/>
    <w:rsid w:val="0063005F"/>
    <w:rsid w:val="00631ACE"/>
    <w:rsid w:val="00632DA1"/>
    <w:rsid w:val="006341BF"/>
    <w:rsid w:val="0064151E"/>
    <w:rsid w:val="006440AF"/>
    <w:rsid w:val="0064520A"/>
    <w:rsid w:val="00645893"/>
    <w:rsid w:val="006500AE"/>
    <w:rsid w:val="00650B57"/>
    <w:rsid w:val="00656B1D"/>
    <w:rsid w:val="0066058C"/>
    <w:rsid w:val="00664E51"/>
    <w:rsid w:val="0066534A"/>
    <w:rsid w:val="00665FCA"/>
    <w:rsid w:val="00671947"/>
    <w:rsid w:val="006759F3"/>
    <w:rsid w:val="00680E58"/>
    <w:rsid w:val="00682B33"/>
    <w:rsid w:val="00683383"/>
    <w:rsid w:val="00684300"/>
    <w:rsid w:val="006870B9"/>
    <w:rsid w:val="006A6886"/>
    <w:rsid w:val="006B400B"/>
    <w:rsid w:val="006B539A"/>
    <w:rsid w:val="006C3A4F"/>
    <w:rsid w:val="006D0CE9"/>
    <w:rsid w:val="006D2910"/>
    <w:rsid w:val="006D31EB"/>
    <w:rsid w:val="006D3F6D"/>
    <w:rsid w:val="006D5319"/>
    <w:rsid w:val="006D5C39"/>
    <w:rsid w:val="006D6251"/>
    <w:rsid w:val="006D7A22"/>
    <w:rsid w:val="006F1CBD"/>
    <w:rsid w:val="006F4077"/>
    <w:rsid w:val="006F580C"/>
    <w:rsid w:val="007003BA"/>
    <w:rsid w:val="0070169A"/>
    <w:rsid w:val="00703B2D"/>
    <w:rsid w:val="00710B18"/>
    <w:rsid w:val="00713486"/>
    <w:rsid w:val="00715A58"/>
    <w:rsid w:val="00715D13"/>
    <w:rsid w:val="007227E2"/>
    <w:rsid w:val="00726D5A"/>
    <w:rsid w:val="0074001E"/>
    <w:rsid w:val="00752464"/>
    <w:rsid w:val="00765B36"/>
    <w:rsid w:val="00767424"/>
    <w:rsid w:val="00775930"/>
    <w:rsid w:val="0077612D"/>
    <w:rsid w:val="007766BA"/>
    <w:rsid w:val="007825E7"/>
    <w:rsid w:val="00785914"/>
    <w:rsid w:val="00787139"/>
    <w:rsid w:val="00787358"/>
    <w:rsid w:val="0079069A"/>
    <w:rsid w:val="00794D27"/>
    <w:rsid w:val="007A0DD0"/>
    <w:rsid w:val="007A1E55"/>
    <w:rsid w:val="007B0703"/>
    <w:rsid w:val="007B0780"/>
    <w:rsid w:val="007B6A85"/>
    <w:rsid w:val="007C05B9"/>
    <w:rsid w:val="007C47CB"/>
    <w:rsid w:val="007C5FF2"/>
    <w:rsid w:val="007C60FE"/>
    <w:rsid w:val="007C7A15"/>
    <w:rsid w:val="007E2EBD"/>
    <w:rsid w:val="007E3985"/>
    <w:rsid w:val="007F01CD"/>
    <w:rsid w:val="007F7422"/>
    <w:rsid w:val="00811AEA"/>
    <w:rsid w:val="00814C3E"/>
    <w:rsid w:val="00815455"/>
    <w:rsid w:val="00816290"/>
    <w:rsid w:val="0082040B"/>
    <w:rsid w:val="00824AA9"/>
    <w:rsid w:val="008419D6"/>
    <w:rsid w:val="00842A74"/>
    <w:rsid w:val="00847CAD"/>
    <w:rsid w:val="00850F7C"/>
    <w:rsid w:val="0085158D"/>
    <w:rsid w:val="0085279F"/>
    <w:rsid w:val="00854A47"/>
    <w:rsid w:val="0085762C"/>
    <w:rsid w:val="00860C98"/>
    <w:rsid w:val="0086536B"/>
    <w:rsid w:val="00866BC6"/>
    <w:rsid w:val="00870035"/>
    <w:rsid w:val="00870F38"/>
    <w:rsid w:val="00871F6C"/>
    <w:rsid w:val="00873359"/>
    <w:rsid w:val="00874997"/>
    <w:rsid w:val="00880864"/>
    <w:rsid w:val="008809C6"/>
    <w:rsid w:val="00882471"/>
    <w:rsid w:val="00887575"/>
    <w:rsid w:val="00897608"/>
    <w:rsid w:val="008A0A16"/>
    <w:rsid w:val="008A4DDA"/>
    <w:rsid w:val="008B626D"/>
    <w:rsid w:val="008C2F3A"/>
    <w:rsid w:val="008C4211"/>
    <w:rsid w:val="008C539E"/>
    <w:rsid w:val="008D1350"/>
    <w:rsid w:val="008D1E2A"/>
    <w:rsid w:val="008D3F19"/>
    <w:rsid w:val="008D7CEF"/>
    <w:rsid w:val="008E45F0"/>
    <w:rsid w:val="0090024B"/>
    <w:rsid w:val="00900264"/>
    <w:rsid w:val="00903461"/>
    <w:rsid w:val="009067B8"/>
    <w:rsid w:val="009068B6"/>
    <w:rsid w:val="00917480"/>
    <w:rsid w:val="00925D60"/>
    <w:rsid w:val="0093644A"/>
    <w:rsid w:val="009375FF"/>
    <w:rsid w:val="0094773B"/>
    <w:rsid w:val="00954EA2"/>
    <w:rsid w:val="00955724"/>
    <w:rsid w:val="00971115"/>
    <w:rsid w:val="00971E97"/>
    <w:rsid w:val="00974371"/>
    <w:rsid w:val="00975B57"/>
    <w:rsid w:val="009805A2"/>
    <w:rsid w:val="00981312"/>
    <w:rsid w:val="00983617"/>
    <w:rsid w:val="00984171"/>
    <w:rsid w:val="009A63B8"/>
    <w:rsid w:val="009B0EE9"/>
    <w:rsid w:val="009B6D59"/>
    <w:rsid w:val="009B71E4"/>
    <w:rsid w:val="009C0F89"/>
    <w:rsid w:val="009C140F"/>
    <w:rsid w:val="009C554B"/>
    <w:rsid w:val="009C6B69"/>
    <w:rsid w:val="009D2710"/>
    <w:rsid w:val="009E3880"/>
    <w:rsid w:val="009E4C4A"/>
    <w:rsid w:val="009F390F"/>
    <w:rsid w:val="00A04308"/>
    <w:rsid w:val="00A0580D"/>
    <w:rsid w:val="00A06AF3"/>
    <w:rsid w:val="00A07BFF"/>
    <w:rsid w:val="00A16F5A"/>
    <w:rsid w:val="00A17E0F"/>
    <w:rsid w:val="00A22F3D"/>
    <w:rsid w:val="00A24D26"/>
    <w:rsid w:val="00A25195"/>
    <w:rsid w:val="00A3160F"/>
    <w:rsid w:val="00A35529"/>
    <w:rsid w:val="00A54321"/>
    <w:rsid w:val="00A55046"/>
    <w:rsid w:val="00A60406"/>
    <w:rsid w:val="00A61394"/>
    <w:rsid w:val="00A626E6"/>
    <w:rsid w:val="00A67406"/>
    <w:rsid w:val="00A707CC"/>
    <w:rsid w:val="00A772F1"/>
    <w:rsid w:val="00A80331"/>
    <w:rsid w:val="00A862B6"/>
    <w:rsid w:val="00A86F86"/>
    <w:rsid w:val="00A93F8D"/>
    <w:rsid w:val="00A97BD1"/>
    <w:rsid w:val="00AA0612"/>
    <w:rsid w:val="00AA079C"/>
    <w:rsid w:val="00AB30BE"/>
    <w:rsid w:val="00AC09C6"/>
    <w:rsid w:val="00AC0FFD"/>
    <w:rsid w:val="00AE6E7D"/>
    <w:rsid w:val="00AF0237"/>
    <w:rsid w:val="00B04E00"/>
    <w:rsid w:val="00B05AA1"/>
    <w:rsid w:val="00B07139"/>
    <w:rsid w:val="00B123DB"/>
    <w:rsid w:val="00B14DB8"/>
    <w:rsid w:val="00B17C8F"/>
    <w:rsid w:val="00B21417"/>
    <w:rsid w:val="00B23232"/>
    <w:rsid w:val="00B27C14"/>
    <w:rsid w:val="00B37F9B"/>
    <w:rsid w:val="00B42B89"/>
    <w:rsid w:val="00B43528"/>
    <w:rsid w:val="00B438D3"/>
    <w:rsid w:val="00B6709F"/>
    <w:rsid w:val="00B676FF"/>
    <w:rsid w:val="00B72883"/>
    <w:rsid w:val="00B7386B"/>
    <w:rsid w:val="00B74968"/>
    <w:rsid w:val="00B82FC2"/>
    <w:rsid w:val="00B83F56"/>
    <w:rsid w:val="00B93FBD"/>
    <w:rsid w:val="00B96753"/>
    <w:rsid w:val="00BA1CD4"/>
    <w:rsid w:val="00BA534D"/>
    <w:rsid w:val="00BA55F3"/>
    <w:rsid w:val="00BA572E"/>
    <w:rsid w:val="00BB28F0"/>
    <w:rsid w:val="00BB3257"/>
    <w:rsid w:val="00BB7B61"/>
    <w:rsid w:val="00BC19EC"/>
    <w:rsid w:val="00BC6271"/>
    <w:rsid w:val="00BC6DA8"/>
    <w:rsid w:val="00BC77B8"/>
    <w:rsid w:val="00BD175B"/>
    <w:rsid w:val="00BD7DD9"/>
    <w:rsid w:val="00BE7318"/>
    <w:rsid w:val="00BF062D"/>
    <w:rsid w:val="00BF41F8"/>
    <w:rsid w:val="00C06FC7"/>
    <w:rsid w:val="00C16460"/>
    <w:rsid w:val="00C2029B"/>
    <w:rsid w:val="00C20824"/>
    <w:rsid w:val="00C20A40"/>
    <w:rsid w:val="00C20DCB"/>
    <w:rsid w:val="00C24982"/>
    <w:rsid w:val="00C24DF4"/>
    <w:rsid w:val="00C328DB"/>
    <w:rsid w:val="00C37A13"/>
    <w:rsid w:val="00C4253A"/>
    <w:rsid w:val="00C46032"/>
    <w:rsid w:val="00C54EDB"/>
    <w:rsid w:val="00C64711"/>
    <w:rsid w:val="00C75C1D"/>
    <w:rsid w:val="00C77945"/>
    <w:rsid w:val="00C87FA2"/>
    <w:rsid w:val="00C95AA7"/>
    <w:rsid w:val="00C9610C"/>
    <w:rsid w:val="00CA11DF"/>
    <w:rsid w:val="00CC03D9"/>
    <w:rsid w:val="00CC0D15"/>
    <w:rsid w:val="00CD70CF"/>
    <w:rsid w:val="00CE5A86"/>
    <w:rsid w:val="00CE68BC"/>
    <w:rsid w:val="00CE6BA5"/>
    <w:rsid w:val="00CF16F8"/>
    <w:rsid w:val="00D16715"/>
    <w:rsid w:val="00D2518D"/>
    <w:rsid w:val="00D2632F"/>
    <w:rsid w:val="00D278A8"/>
    <w:rsid w:val="00D321E7"/>
    <w:rsid w:val="00D454C2"/>
    <w:rsid w:val="00D47982"/>
    <w:rsid w:val="00D5414C"/>
    <w:rsid w:val="00D5599A"/>
    <w:rsid w:val="00D63794"/>
    <w:rsid w:val="00D67A3E"/>
    <w:rsid w:val="00D67F51"/>
    <w:rsid w:val="00D738BF"/>
    <w:rsid w:val="00D7515C"/>
    <w:rsid w:val="00D805C3"/>
    <w:rsid w:val="00D80B35"/>
    <w:rsid w:val="00D80C99"/>
    <w:rsid w:val="00D90F34"/>
    <w:rsid w:val="00D9683D"/>
    <w:rsid w:val="00DA5B58"/>
    <w:rsid w:val="00DB01F1"/>
    <w:rsid w:val="00DB324A"/>
    <w:rsid w:val="00DC736B"/>
    <w:rsid w:val="00DC77DA"/>
    <w:rsid w:val="00DD5A54"/>
    <w:rsid w:val="00DD729C"/>
    <w:rsid w:val="00DE4670"/>
    <w:rsid w:val="00DF4A0B"/>
    <w:rsid w:val="00DF7B35"/>
    <w:rsid w:val="00DF7BF2"/>
    <w:rsid w:val="00E01B36"/>
    <w:rsid w:val="00E05013"/>
    <w:rsid w:val="00E05BE3"/>
    <w:rsid w:val="00E07C41"/>
    <w:rsid w:val="00E14319"/>
    <w:rsid w:val="00E20DD3"/>
    <w:rsid w:val="00E22EC7"/>
    <w:rsid w:val="00E23B95"/>
    <w:rsid w:val="00E2487C"/>
    <w:rsid w:val="00E26E9A"/>
    <w:rsid w:val="00E36E58"/>
    <w:rsid w:val="00E43E53"/>
    <w:rsid w:val="00E44FA0"/>
    <w:rsid w:val="00E47E62"/>
    <w:rsid w:val="00E5626E"/>
    <w:rsid w:val="00E620C7"/>
    <w:rsid w:val="00E63551"/>
    <w:rsid w:val="00E64F90"/>
    <w:rsid w:val="00E777F4"/>
    <w:rsid w:val="00E815EB"/>
    <w:rsid w:val="00E83284"/>
    <w:rsid w:val="00E87008"/>
    <w:rsid w:val="00E916AE"/>
    <w:rsid w:val="00E9240A"/>
    <w:rsid w:val="00E92C17"/>
    <w:rsid w:val="00E92DA3"/>
    <w:rsid w:val="00E93BF0"/>
    <w:rsid w:val="00EB026D"/>
    <w:rsid w:val="00EB6966"/>
    <w:rsid w:val="00EC21D2"/>
    <w:rsid w:val="00ED0FFE"/>
    <w:rsid w:val="00ED3EDE"/>
    <w:rsid w:val="00ED4DB9"/>
    <w:rsid w:val="00ED64A6"/>
    <w:rsid w:val="00EE1C49"/>
    <w:rsid w:val="00EE484E"/>
    <w:rsid w:val="00EE7369"/>
    <w:rsid w:val="00F02283"/>
    <w:rsid w:val="00F137A8"/>
    <w:rsid w:val="00F21260"/>
    <w:rsid w:val="00F26F22"/>
    <w:rsid w:val="00F277BE"/>
    <w:rsid w:val="00F301F9"/>
    <w:rsid w:val="00F36FA5"/>
    <w:rsid w:val="00F43577"/>
    <w:rsid w:val="00F532FF"/>
    <w:rsid w:val="00F537EA"/>
    <w:rsid w:val="00F5544A"/>
    <w:rsid w:val="00F56450"/>
    <w:rsid w:val="00F65A0A"/>
    <w:rsid w:val="00F65EE3"/>
    <w:rsid w:val="00F70657"/>
    <w:rsid w:val="00F7176E"/>
    <w:rsid w:val="00F72F7A"/>
    <w:rsid w:val="00F77EF6"/>
    <w:rsid w:val="00FA62A1"/>
    <w:rsid w:val="00FA7A28"/>
    <w:rsid w:val="00FB4F7F"/>
    <w:rsid w:val="00FB53E9"/>
    <w:rsid w:val="00FC50EE"/>
    <w:rsid w:val="00FD0D3F"/>
    <w:rsid w:val="00FD7378"/>
    <w:rsid w:val="00FE228D"/>
    <w:rsid w:val="00FF1261"/>
    <w:rsid w:val="00FF2E71"/>
    <w:rsid w:val="00FF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792B1"/>
  <w15:chartTrackingRefBased/>
  <w15:docId w15:val="{B7AF2419-7388-447A-84A6-5561B000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261"/>
  </w:style>
  <w:style w:type="paragraph" w:styleId="Heading2">
    <w:name w:val="heading 2"/>
    <w:basedOn w:val="Normal"/>
    <w:next w:val="Normal"/>
    <w:link w:val="Heading2Char"/>
    <w:qFormat/>
    <w:rsid w:val="00B74968"/>
    <w:pPr>
      <w:keepNext/>
      <w:spacing w:after="0" w:line="240" w:lineRule="auto"/>
      <w:jc w:val="center"/>
      <w:outlineLvl w:val="1"/>
    </w:pPr>
    <w:rPr>
      <w:rFonts w:ascii="Times New Roman" w:eastAsia="Times New Roman" w:hAnsi="Times New Roman" w:cs="Times New Roman"/>
      <w:b/>
      <w:bCs/>
      <w:sz w:val="24"/>
      <w:szCs w:val="24"/>
      <w:lang w:val="ro-RO"/>
    </w:rPr>
  </w:style>
  <w:style w:type="paragraph" w:styleId="Heading3">
    <w:name w:val="heading 3"/>
    <w:basedOn w:val="Normal"/>
    <w:next w:val="Normal"/>
    <w:link w:val="Heading3Char"/>
    <w:uiPriority w:val="9"/>
    <w:semiHidden/>
    <w:unhideWhenUsed/>
    <w:qFormat/>
    <w:rsid w:val="00E81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1261"/>
    <w:pPr>
      <w:spacing w:after="0" w:line="240" w:lineRule="auto"/>
      <w:ind w:firstLine="567"/>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FF1261"/>
    <w:pPr>
      <w:ind w:left="720"/>
      <w:contextualSpacing/>
    </w:pPr>
  </w:style>
  <w:style w:type="paragraph" w:styleId="Header">
    <w:name w:val="header"/>
    <w:basedOn w:val="Normal"/>
    <w:link w:val="HeaderChar"/>
    <w:uiPriority w:val="99"/>
    <w:unhideWhenUsed/>
    <w:rsid w:val="00FF126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1261"/>
  </w:style>
  <w:style w:type="paragraph" w:styleId="Footer">
    <w:name w:val="footer"/>
    <w:basedOn w:val="Normal"/>
    <w:link w:val="FooterChar"/>
    <w:uiPriority w:val="99"/>
    <w:unhideWhenUsed/>
    <w:rsid w:val="00FF126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1261"/>
  </w:style>
  <w:style w:type="paragraph" w:customStyle="1" w:styleId="IASBNormalnpara">
    <w:name w:val="IASB Normal npara"/>
    <w:basedOn w:val="Normal"/>
    <w:rsid w:val="00FF1261"/>
    <w:pPr>
      <w:spacing w:before="100" w:after="0" w:line="240" w:lineRule="auto"/>
      <w:ind w:left="782" w:hanging="782"/>
      <w:jc w:val="both"/>
    </w:pPr>
    <w:rPr>
      <w:rFonts w:ascii="Times New Roman" w:eastAsia="Times New Roman" w:hAnsi="Times New Roman" w:cs="Times New Roman"/>
      <w:sz w:val="19"/>
      <w:szCs w:val="20"/>
      <w:lang w:val="ro-RO" w:eastAsia="ro-RO" w:bidi="ro-RO"/>
    </w:rPr>
  </w:style>
  <w:style w:type="character" w:customStyle="1" w:styleId="Heading2Char">
    <w:name w:val="Heading 2 Char"/>
    <w:basedOn w:val="DefaultParagraphFont"/>
    <w:link w:val="Heading2"/>
    <w:rsid w:val="00B74968"/>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DA5B58"/>
    <w:rPr>
      <w:b/>
      <w:bCs/>
    </w:rPr>
  </w:style>
  <w:style w:type="paragraph" w:styleId="BalloonText">
    <w:name w:val="Balloon Text"/>
    <w:basedOn w:val="Normal"/>
    <w:link w:val="BalloonTextChar"/>
    <w:uiPriority w:val="99"/>
    <w:semiHidden/>
    <w:unhideWhenUsed/>
    <w:rsid w:val="00A67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406"/>
    <w:rPr>
      <w:rFonts w:ascii="Segoe UI" w:hAnsi="Segoe UI" w:cs="Segoe UI"/>
      <w:sz w:val="18"/>
      <w:szCs w:val="18"/>
    </w:rPr>
  </w:style>
  <w:style w:type="character" w:customStyle="1" w:styleId="ln2tlitera">
    <w:name w:val="ln2tlitera"/>
    <w:rsid w:val="00E05BE3"/>
    <w:rPr>
      <w:rFonts w:cs="Times New Roman"/>
    </w:rPr>
  </w:style>
  <w:style w:type="character" w:styleId="CommentReference">
    <w:name w:val="annotation reference"/>
    <w:basedOn w:val="DefaultParagraphFont"/>
    <w:uiPriority w:val="99"/>
    <w:semiHidden/>
    <w:unhideWhenUsed/>
    <w:rsid w:val="00E63551"/>
    <w:rPr>
      <w:sz w:val="16"/>
      <w:szCs w:val="16"/>
    </w:rPr>
  </w:style>
  <w:style w:type="paragraph" w:styleId="CommentText">
    <w:name w:val="annotation text"/>
    <w:basedOn w:val="Normal"/>
    <w:link w:val="CommentTextChar"/>
    <w:uiPriority w:val="99"/>
    <w:unhideWhenUsed/>
    <w:rsid w:val="00E63551"/>
    <w:pPr>
      <w:spacing w:line="240" w:lineRule="auto"/>
    </w:pPr>
    <w:rPr>
      <w:sz w:val="20"/>
      <w:szCs w:val="20"/>
    </w:rPr>
  </w:style>
  <w:style w:type="character" w:customStyle="1" w:styleId="CommentTextChar">
    <w:name w:val="Comment Text Char"/>
    <w:basedOn w:val="DefaultParagraphFont"/>
    <w:link w:val="CommentText"/>
    <w:uiPriority w:val="99"/>
    <w:rsid w:val="00E63551"/>
    <w:rPr>
      <w:sz w:val="20"/>
      <w:szCs w:val="20"/>
    </w:rPr>
  </w:style>
  <w:style w:type="paragraph" w:styleId="CommentSubject">
    <w:name w:val="annotation subject"/>
    <w:basedOn w:val="CommentText"/>
    <w:next w:val="CommentText"/>
    <w:link w:val="CommentSubjectChar"/>
    <w:uiPriority w:val="99"/>
    <w:semiHidden/>
    <w:unhideWhenUsed/>
    <w:rsid w:val="00E63551"/>
    <w:rPr>
      <w:b/>
      <w:bCs/>
    </w:rPr>
  </w:style>
  <w:style w:type="character" w:customStyle="1" w:styleId="CommentSubjectChar">
    <w:name w:val="Comment Subject Char"/>
    <w:basedOn w:val="CommentTextChar"/>
    <w:link w:val="CommentSubject"/>
    <w:uiPriority w:val="99"/>
    <w:semiHidden/>
    <w:rsid w:val="00E63551"/>
    <w:rPr>
      <w:b/>
      <w:bCs/>
      <w:sz w:val="20"/>
      <w:szCs w:val="20"/>
    </w:rPr>
  </w:style>
  <w:style w:type="character" w:customStyle="1" w:styleId="def1">
    <w:name w:val="def1"/>
    <w:basedOn w:val="DefaultParagraphFont"/>
    <w:rsid w:val="00C75C1D"/>
    <w:rPr>
      <w:color w:val="000000"/>
    </w:rPr>
  </w:style>
  <w:style w:type="character" w:customStyle="1" w:styleId="Heading3Char">
    <w:name w:val="Heading 3 Char"/>
    <w:basedOn w:val="DefaultParagraphFont"/>
    <w:link w:val="Heading3"/>
    <w:uiPriority w:val="9"/>
    <w:semiHidden/>
    <w:rsid w:val="00E815EB"/>
    <w:rPr>
      <w:rFonts w:asciiTheme="majorHAnsi" w:eastAsiaTheme="majorEastAsia" w:hAnsiTheme="majorHAnsi" w:cstheme="majorBidi"/>
      <w:color w:val="1F4D78" w:themeColor="accent1" w:themeShade="7F"/>
      <w:sz w:val="24"/>
      <w:szCs w:val="24"/>
    </w:rPr>
  </w:style>
  <w:style w:type="paragraph" w:customStyle="1" w:styleId="cb">
    <w:name w:val="cb"/>
    <w:basedOn w:val="Normal"/>
    <w:rsid w:val="009B6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9B6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C736B"/>
    <w:pPr>
      <w:autoSpaceDE w:val="0"/>
      <w:autoSpaceDN w:val="0"/>
      <w:adjustRightInd w:val="0"/>
      <w:spacing w:after="0" w:line="240" w:lineRule="auto"/>
    </w:pPr>
    <w:rPr>
      <w:rFonts w:ascii="Times New Roman" w:hAnsi="Times New Roman" w:cs="Times New Roman"/>
      <w:color w:val="000000"/>
      <w:sz w:val="24"/>
      <w:szCs w:val="24"/>
      <w:lang w:val="ro-MD"/>
    </w:rPr>
  </w:style>
  <w:style w:type="paragraph" w:styleId="Revision">
    <w:name w:val="Revision"/>
    <w:hidden/>
    <w:uiPriority w:val="99"/>
    <w:semiHidden/>
    <w:rsid w:val="00540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011">
      <w:bodyDiv w:val="1"/>
      <w:marLeft w:val="0"/>
      <w:marRight w:val="0"/>
      <w:marTop w:val="0"/>
      <w:marBottom w:val="0"/>
      <w:divBdr>
        <w:top w:val="none" w:sz="0" w:space="0" w:color="auto"/>
        <w:left w:val="none" w:sz="0" w:space="0" w:color="auto"/>
        <w:bottom w:val="none" w:sz="0" w:space="0" w:color="auto"/>
        <w:right w:val="none" w:sz="0" w:space="0" w:color="auto"/>
      </w:divBdr>
    </w:div>
    <w:div w:id="117376118">
      <w:bodyDiv w:val="1"/>
      <w:marLeft w:val="0"/>
      <w:marRight w:val="0"/>
      <w:marTop w:val="0"/>
      <w:marBottom w:val="0"/>
      <w:divBdr>
        <w:top w:val="none" w:sz="0" w:space="0" w:color="auto"/>
        <w:left w:val="none" w:sz="0" w:space="0" w:color="auto"/>
        <w:bottom w:val="none" w:sz="0" w:space="0" w:color="auto"/>
        <w:right w:val="none" w:sz="0" w:space="0" w:color="auto"/>
      </w:divBdr>
    </w:div>
    <w:div w:id="139807124">
      <w:bodyDiv w:val="1"/>
      <w:marLeft w:val="0"/>
      <w:marRight w:val="0"/>
      <w:marTop w:val="0"/>
      <w:marBottom w:val="0"/>
      <w:divBdr>
        <w:top w:val="none" w:sz="0" w:space="0" w:color="auto"/>
        <w:left w:val="none" w:sz="0" w:space="0" w:color="auto"/>
        <w:bottom w:val="none" w:sz="0" w:space="0" w:color="auto"/>
        <w:right w:val="none" w:sz="0" w:space="0" w:color="auto"/>
      </w:divBdr>
    </w:div>
    <w:div w:id="303705092">
      <w:bodyDiv w:val="1"/>
      <w:marLeft w:val="0"/>
      <w:marRight w:val="0"/>
      <w:marTop w:val="0"/>
      <w:marBottom w:val="0"/>
      <w:divBdr>
        <w:top w:val="none" w:sz="0" w:space="0" w:color="auto"/>
        <w:left w:val="none" w:sz="0" w:space="0" w:color="auto"/>
        <w:bottom w:val="none" w:sz="0" w:space="0" w:color="auto"/>
        <w:right w:val="none" w:sz="0" w:space="0" w:color="auto"/>
      </w:divBdr>
    </w:div>
    <w:div w:id="395519852">
      <w:bodyDiv w:val="1"/>
      <w:marLeft w:val="0"/>
      <w:marRight w:val="0"/>
      <w:marTop w:val="0"/>
      <w:marBottom w:val="0"/>
      <w:divBdr>
        <w:top w:val="none" w:sz="0" w:space="0" w:color="auto"/>
        <w:left w:val="none" w:sz="0" w:space="0" w:color="auto"/>
        <w:bottom w:val="none" w:sz="0" w:space="0" w:color="auto"/>
        <w:right w:val="none" w:sz="0" w:space="0" w:color="auto"/>
      </w:divBdr>
    </w:div>
    <w:div w:id="580335309">
      <w:bodyDiv w:val="1"/>
      <w:marLeft w:val="0"/>
      <w:marRight w:val="0"/>
      <w:marTop w:val="0"/>
      <w:marBottom w:val="0"/>
      <w:divBdr>
        <w:top w:val="none" w:sz="0" w:space="0" w:color="auto"/>
        <w:left w:val="none" w:sz="0" w:space="0" w:color="auto"/>
        <w:bottom w:val="none" w:sz="0" w:space="0" w:color="auto"/>
        <w:right w:val="none" w:sz="0" w:space="0" w:color="auto"/>
      </w:divBdr>
    </w:div>
    <w:div w:id="780494141">
      <w:bodyDiv w:val="1"/>
      <w:marLeft w:val="0"/>
      <w:marRight w:val="0"/>
      <w:marTop w:val="0"/>
      <w:marBottom w:val="0"/>
      <w:divBdr>
        <w:top w:val="none" w:sz="0" w:space="0" w:color="auto"/>
        <w:left w:val="none" w:sz="0" w:space="0" w:color="auto"/>
        <w:bottom w:val="none" w:sz="0" w:space="0" w:color="auto"/>
        <w:right w:val="none" w:sz="0" w:space="0" w:color="auto"/>
      </w:divBdr>
    </w:div>
    <w:div w:id="865949733">
      <w:bodyDiv w:val="1"/>
      <w:marLeft w:val="0"/>
      <w:marRight w:val="0"/>
      <w:marTop w:val="0"/>
      <w:marBottom w:val="0"/>
      <w:divBdr>
        <w:top w:val="none" w:sz="0" w:space="0" w:color="auto"/>
        <w:left w:val="none" w:sz="0" w:space="0" w:color="auto"/>
        <w:bottom w:val="none" w:sz="0" w:space="0" w:color="auto"/>
        <w:right w:val="none" w:sz="0" w:space="0" w:color="auto"/>
      </w:divBdr>
    </w:div>
    <w:div w:id="958415394">
      <w:bodyDiv w:val="1"/>
      <w:marLeft w:val="0"/>
      <w:marRight w:val="0"/>
      <w:marTop w:val="0"/>
      <w:marBottom w:val="0"/>
      <w:divBdr>
        <w:top w:val="none" w:sz="0" w:space="0" w:color="auto"/>
        <w:left w:val="none" w:sz="0" w:space="0" w:color="auto"/>
        <w:bottom w:val="none" w:sz="0" w:space="0" w:color="auto"/>
        <w:right w:val="none" w:sz="0" w:space="0" w:color="auto"/>
      </w:divBdr>
    </w:div>
    <w:div w:id="961569920">
      <w:bodyDiv w:val="1"/>
      <w:marLeft w:val="0"/>
      <w:marRight w:val="0"/>
      <w:marTop w:val="0"/>
      <w:marBottom w:val="0"/>
      <w:divBdr>
        <w:top w:val="none" w:sz="0" w:space="0" w:color="auto"/>
        <w:left w:val="none" w:sz="0" w:space="0" w:color="auto"/>
        <w:bottom w:val="none" w:sz="0" w:space="0" w:color="auto"/>
        <w:right w:val="none" w:sz="0" w:space="0" w:color="auto"/>
      </w:divBdr>
    </w:div>
    <w:div w:id="1017272589">
      <w:bodyDiv w:val="1"/>
      <w:marLeft w:val="0"/>
      <w:marRight w:val="0"/>
      <w:marTop w:val="0"/>
      <w:marBottom w:val="0"/>
      <w:divBdr>
        <w:top w:val="none" w:sz="0" w:space="0" w:color="auto"/>
        <w:left w:val="none" w:sz="0" w:space="0" w:color="auto"/>
        <w:bottom w:val="none" w:sz="0" w:space="0" w:color="auto"/>
        <w:right w:val="none" w:sz="0" w:space="0" w:color="auto"/>
      </w:divBdr>
    </w:div>
    <w:div w:id="1094403767">
      <w:bodyDiv w:val="1"/>
      <w:marLeft w:val="0"/>
      <w:marRight w:val="0"/>
      <w:marTop w:val="0"/>
      <w:marBottom w:val="0"/>
      <w:divBdr>
        <w:top w:val="none" w:sz="0" w:space="0" w:color="auto"/>
        <w:left w:val="none" w:sz="0" w:space="0" w:color="auto"/>
        <w:bottom w:val="none" w:sz="0" w:space="0" w:color="auto"/>
        <w:right w:val="none" w:sz="0" w:space="0" w:color="auto"/>
      </w:divBdr>
    </w:div>
    <w:div w:id="1138914571">
      <w:bodyDiv w:val="1"/>
      <w:marLeft w:val="0"/>
      <w:marRight w:val="0"/>
      <w:marTop w:val="0"/>
      <w:marBottom w:val="0"/>
      <w:divBdr>
        <w:top w:val="none" w:sz="0" w:space="0" w:color="auto"/>
        <w:left w:val="none" w:sz="0" w:space="0" w:color="auto"/>
        <w:bottom w:val="none" w:sz="0" w:space="0" w:color="auto"/>
        <w:right w:val="none" w:sz="0" w:space="0" w:color="auto"/>
      </w:divBdr>
    </w:div>
    <w:div w:id="1518544436">
      <w:bodyDiv w:val="1"/>
      <w:marLeft w:val="0"/>
      <w:marRight w:val="0"/>
      <w:marTop w:val="0"/>
      <w:marBottom w:val="0"/>
      <w:divBdr>
        <w:top w:val="none" w:sz="0" w:space="0" w:color="auto"/>
        <w:left w:val="none" w:sz="0" w:space="0" w:color="auto"/>
        <w:bottom w:val="none" w:sz="0" w:space="0" w:color="auto"/>
        <w:right w:val="none" w:sz="0" w:space="0" w:color="auto"/>
      </w:divBdr>
    </w:div>
    <w:div w:id="1553612904">
      <w:bodyDiv w:val="1"/>
      <w:marLeft w:val="0"/>
      <w:marRight w:val="0"/>
      <w:marTop w:val="0"/>
      <w:marBottom w:val="0"/>
      <w:divBdr>
        <w:top w:val="none" w:sz="0" w:space="0" w:color="auto"/>
        <w:left w:val="none" w:sz="0" w:space="0" w:color="auto"/>
        <w:bottom w:val="none" w:sz="0" w:space="0" w:color="auto"/>
        <w:right w:val="none" w:sz="0" w:space="0" w:color="auto"/>
      </w:divBdr>
    </w:div>
    <w:div w:id="1841659081">
      <w:bodyDiv w:val="1"/>
      <w:marLeft w:val="0"/>
      <w:marRight w:val="0"/>
      <w:marTop w:val="0"/>
      <w:marBottom w:val="0"/>
      <w:divBdr>
        <w:top w:val="none" w:sz="0" w:space="0" w:color="auto"/>
        <w:left w:val="none" w:sz="0" w:space="0" w:color="auto"/>
        <w:bottom w:val="none" w:sz="0" w:space="0" w:color="auto"/>
        <w:right w:val="none" w:sz="0" w:space="0" w:color="auto"/>
      </w:divBdr>
    </w:div>
    <w:div w:id="1976372991">
      <w:bodyDiv w:val="1"/>
      <w:marLeft w:val="0"/>
      <w:marRight w:val="0"/>
      <w:marTop w:val="0"/>
      <w:marBottom w:val="0"/>
      <w:divBdr>
        <w:top w:val="none" w:sz="0" w:space="0" w:color="auto"/>
        <w:left w:val="none" w:sz="0" w:space="0" w:color="auto"/>
        <w:bottom w:val="none" w:sz="0" w:space="0" w:color="auto"/>
        <w:right w:val="none" w:sz="0" w:space="0" w:color="auto"/>
      </w:divBdr>
    </w:div>
    <w:div w:id="2043703258">
      <w:bodyDiv w:val="1"/>
      <w:marLeft w:val="0"/>
      <w:marRight w:val="0"/>
      <w:marTop w:val="0"/>
      <w:marBottom w:val="0"/>
      <w:divBdr>
        <w:top w:val="none" w:sz="0" w:space="0" w:color="auto"/>
        <w:left w:val="none" w:sz="0" w:space="0" w:color="auto"/>
        <w:bottom w:val="none" w:sz="0" w:space="0" w:color="auto"/>
        <w:right w:val="none" w:sz="0" w:space="0" w:color="auto"/>
      </w:divBdr>
    </w:div>
    <w:div w:id="21169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409A-5010-41E4-9711-DE89016E39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79920-2D4A-4727-A5F9-CC4F530B5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D589E-1925-4C70-972F-B03B9F61ED36}">
  <ds:schemaRefs>
    <ds:schemaRef ds:uri="http://schemas.microsoft.com/sharepoint/v3/contenttype/forms"/>
  </ds:schemaRefs>
</ds:datastoreItem>
</file>

<file path=customXml/itemProps4.xml><?xml version="1.0" encoding="utf-8"?>
<ds:datastoreItem xmlns:ds="http://schemas.openxmlformats.org/officeDocument/2006/customXml" ds:itemID="{F1AA3446-4D09-4248-937E-BFC509F0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2024-02-16T07:31:00Z</cp:lastPrinted>
  <dcterms:created xsi:type="dcterms:W3CDTF">2024-02-16T07:32:00Z</dcterms:created>
  <dcterms:modified xsi:type="dcterms:W3CDTF">2024-02-16T07:32:00Z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8ec4800e-cb86-4fb2-91ce-942511e05496</vt:lpwstr>
  </property>
  <property fmtid="{D5CDD505-2E9C-101B-9397-08002B2CF9AE}" pid="3" name="ContentTypeId">
    <vt:lpwstr>0x01010041CC8FD9FC602D47942046F00E7457D2</vt:lpwstr>
  </property>
  <property fmtid="{D5CDD505-2E9C-101B-9397-08002B2CF9AE}" pid="4" name="Clasificare">
    <vt:lpwstr>NONE</vt:lpwstr>
  </property>
</Properties>
</file>